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0"/>
          <w:sz w:val="2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0"/>
          <w:sz w:val="2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青口十八勇士纪念馆改陈布展工程</w:t>
      </w:r>
      <w:r>
        <w:rPr>
          <w:rFonts w:ascii="SimSun" w:hAnsi="SimSun" w:eastAsia="SimSun" w:cs="SimSun"/>
          <w:b/>
          <w:color w:val="000000"/>
          <w:sz w:val="36"/>
        </w:rPr>
        <w:t xml:space="preserve">（政府采购工程）（专门面向中小企业）</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21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60"/>
          <w:u w:val="none"/>
        </w:rPr>
        <w:t xml:space="preserve">竞争性磋商文件</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项目编号：JSZC-320707-JSZC-C2025-0099</w:t>
      </w:r>
      <w:r/>
    </w:p>
    <w:p>
      <w:pPr>
        <w:ind w:left="0" w:right="0" w:firstLine="147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b/>
          <w:color w:val="000000"/>
          <w:sz w:val="30"/>
        </w:rPr>
        <w:t xml:space="preserve">     </w:t>
      </w:r>
      <w:r/>
    </w:p>
    <w:p>
      <w:pPr>
        <w:ind w:left="0" w:right="0" w:firstLine="0"/>
        <w:jc w:val="both"/>
        <w:spacing w:before="21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采</w:t>
      </w:r>
      <w:r>
        <w:rPr>
          <w:rFonts w:ascii="SimSun" w:hAnsi="SimSun" w:eastAsia="SimSun" w:cs="SimSun"/>
          <w:b/>
          <w:color w:val="000000"/>
          <w:sz w:val="32"/>
        </w:rPr>
        <w:t xml:space="preserve">购   人：赣榆区青口镇人民政府</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rPr>
          <w:rFonts w:ascii="SimSun" w:hAnsi="SimSun" w:eastAsia="SimSun" w:cs="SimSun"/>
          <w:b/>
          <w:color w:val="000000"/>
          <w:sz w:val="32"/>
          <w:u w:val="none"/>
        </w:rPr>
        <w:t xml:space="preserve">采购代理机构：</w:t>
      </w:r>
      <w:r>
        <w:rPr>
          <w:rFonts w:ascii="SimSun" w:hAnsi="SimSun" w:eastAsia="SimSun" w:cs="SimSun"/>
          <w:b/>
          <w:color w:val="000000"/>
          <w:sz w:val="32"/>
        </w:rPr>
        <w:t xml:space="preserve">江苏志诚工程咨询管理有限公司</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2025年11月13日</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目 录</w:t>
      </w:r>
      <w:r/>
    </w:p>
    <w:p>
      <w:pPr>
        <w:ind w:left="0" w:right="0" w:firstLine="0"/>
        <w:jc w:val="both"/>
        <w:spacing w:before="210" w:after="57" w:line="85" w:lineRule="atLeast"/>
        <w:tabs>
          <w:tab w:val="left" w:pos="8306" w:leader="none"/>
        </w:tabs>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11548" w:history="1">
        <w:r>
          <w:rPr>
            <w:rStyle w:val="899"/>
            <w:rFonts w:ascii="SimSun" w:hAnsi="SimSun" w:eastAsia="SimSun" w:cs="SimSun"/>
            <w:color w:val="0000ee"/>
            <w:sz w:val="28"/>
            <w:u w:val="single"/>
          </w:rPr>
          <w:t xml:space="preserve">第一章</w:t>
        </w:r>
        <w:r>
          <w:rPr>
            <w:rStyle w:val="899"/>
            <w:rFonts w:ascii="SimSun" w:hAnsi="SimSun" w:eastAsia="SimSun" w:cs="SimSun"/>
            <w:color w:val="0000ee"/>
            <w:sz w:val="28"/>
            <w:u w:val="none"/>
          </w:rPr>
          <w:t xml:space="preserve"> </w:t>
        </w:r>
        <w:r>
          <w:rPr>
            <w:rStyle w:val="899"/>
            <w:rFonts w:ascii="SimSun" w:hAnsi="SimSun" w:eastAsia="SimSun" w:cs="SimSun"/>
            <w:color w:val="0000ee"/>
            <w:sz w:val="28"/>
            <w:u w:val="single"/>
          </w:rPr>
          <w:t xml:space="preserve">磋商邀请</w:t>
          <w:tab/>
        </w:r>
      </w:hyperlink>
      <w:r/>
      <w:r/>
    </w:p>
    <w:p>
      <w:pPr>
        <w:ind w:left="0" w:right="0" w:firstLine="0"/>
        <w:jc w:val="both"/>
        <w:spacing w:before="210" w:after="57" w:line="85" w:lineRule="atLeast"/>
        <w:tabs>
          <w:tab w:val="left" w:pos="8306"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30750" w:history="1">
        <w:r>
          <w:rPr>
            <w:rStyle w:val="899"/>
            <w:rFonts w:ascii="SimSun" w:hAnsi="SimSun" w:eastAsia="SimSun" w:cs="SimSun"/>
            <w:color w:val="0000ee"/>
            <w:sz w:val="28"/>
            <w:u w:val="single"/>
          </w:rPr>
          <w:t xml:space="preserve">第二章</w:t>
        </w:r>
        <w:r>
          <w:rPr>
            <w:rStyle w:val="899"/>
            <w:rFonts w:ascii="SimSun" w:hAnsi="SimSun" w:eastAsia="SimSun" w:cs="SimSun"/>
            <w:color w:val="0000ee"/>
            <w:sz w:val="28"/>
            <w:u w:val="none"/>
          </w:rPr>
          <w:t xml:space="preserve"> </w:t>
        </w:r>
        <w:r>
          <w:rPr>
            <w:rStyle w:val="899"/>
            <w:rFonts w:ascii="SimSun" w:hAnsi="SimSun" w:eastAsia="SimSun" w:cs="SimSun"/>
            <w:color w:val="0000ee"/>
            <w:sz w:val="28"/>
            <w:u w:val="single"/>
          </w:rPr>
          <w:t xml:space="preserve">磋商须知</w:t>
          <w:tab/>
        </w:r>
      </w:hyperlink>
      <w:r/>
      <w:r/>
    </w:p>
    <w:p>
      <w:pPr>
        <w:ind w:left="0" w:right="0" w:firstLine="0"/>
        <w:jc w:val="both"/>
        <w:spacing w:before="210" w:after="57" w:line="85" w:lineRule="atLeast"/>
        <w:tabs>
          <w:tab w:val="left" w:pos="8306"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12694" w:history="1">
        <w:r>
          <w:rPr>
            <w:rStyle w:val="899"/>
            <w:rFonts w:ascii="SimSun" w:hAnsi="SimSun" w:eastAsia="SimSun" w:cs="SimSun"/>
            <w:color w:val="0000ee"/>
            <w:sz w:val="28"/>
            <w:u w:val="single"/>
          </w:rPr>
          <w:t xml:space="preserve">第三章</w:t>
        </w:r>
        <w:r>
          <w:rPr>
            <w:rStyle w:val="899"/>
            <w:rFonts w:ascii="SimSun" w:hAnsi="SimSun" w:eastAsia="SimSun" w:cs="SimSun"/>
            <w:color w:val="0000ee"/>
            <w:sz w:val="28"/>
            <w:u w:val="none"/>
          </w:rPr>
          <w:t xml:space="preserve"> </w:t>
        </w:r>
        <w:r>
          <w:rPr>
            <w:rStyle w:val="899"/>
            <w:rFonts w:ascii="SimSun" w:hAnsi="SimSun" w:eastAsia="SimSun" w:cs="SimSun"/>
            <w:color w:val="0000ee"/>
            <w:sz w:val="28"/>
            <w:u w:val="single"/>
          </w:rPr>
          <w:t xml:space="preserve">合同条款及格式</w:t>
          <w:tab/>
        </w:r>
      </w:hyperlink>
      <w:r/>
      <w:r/>
    </w:p>
    <w:p>
      <w:pPr>
        <w:ind w:left="0" w:right="0" w:firstLine="0"/>
        <w:jc w:val="both"/>
        <w:spacing w:before="210" w:after="57" w:line="85" w:lineRule="atLeast"/>
        <w:tabs>
          <w:tab w:val="left" w:pos="8306"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15073" w:history="1">
        <w:r>
          <w:rPr>
            <w:rStyle w:val="899"/>
            <w:rFonts w:ascii="SimSun" w:hAnsi="SimSun" w:eastAsia="SimSun" w:cs="SimSun"/>
            <w:color w:val="0000ee"/>
            <w:sz w:val="28"/>
            <w:u w:val="single"/>
          </w:rPr>
          <w:t xml:space="preserve">第四章</w:t>
        </w:r>
        <w:r>
          <w:rPr>
            <w:rStyle w:val="899"/>
            <w:rFonts w:ascii="SimSun" w:hAnsi="SimSun" w:eastAsia="SimSun" w:cs="SimSun"/>
            <w:color w:val="0000ee"/>
            <w:sz w:val="28"/>
            <w:u w:val="none"/>
          </w:rPr>
          <w:t xml:space="preserve"> </w:t>
        </w:r>
        <w:r>
          <w:rPr>
            <w:rStyle w:val="899"/>
            <w:rFonts w:ascii="SimSun" w:hAnsi="SimSun" w:eastAsia="SimSun" w:cs="SimSun"/>
            <w:color w:val="0000ee"/>
            <w:sz w:val="28"/>
            <w:u w:val="single"/>
          </w:rPr>
          <w:t xml:space="preserve">项目需求</w:t>
          <w:tab/>
        </w:r>
      </w:hyperlink>
      <w:r/>
      <w:r/>
    </w:p>
    <w:p>
      <w:pPr>
        <w:ind w:left="0" w:right="0" w:firstLine="0"/>
        <w:jc w:val="both"/>
        <w:spacing w:before="210" w:after="0" w:line="85" w:lineRule="atLeast"/>
        <w:tabs>
          <w:tab w:val="left" w:pos="8306" w:leader="none"/>
        </w:tabs>
        <w:pBdr>
          <w:top w:val="none" w:color="000000" w:sz="4" w:space="0"/>
          <w:left w:val="none" w:color="000000" w:sz="4" w:space="0"/>
          <w:bottom w:val="none" w:color="000000" w:sz="4" w:space="0"/>
          <w:right w:val="none" w:color="000000" w:sz="4" w:space="0"/>
        </w:pBdr>
      </w:pPr>
      <w:r/>
      <w:hyperlink r:id="rId15" w:tooltip="http://jszfcg.jsczt.cn/jszc/onlyoffice/7.2.1-34/web-apps/apps/documenteditor/main/index_loader.html?_dc=7.2.1-34&amp;lang=zh&amp;customer=%20&amp;logo=%20&amp;headerlogo=%2Ffavicon.ico&amp;frameEditorId=iframePage&amp;compact=true&amp;parentOrigin=http://jszfcg.jsczt.cn#_Toc11869" w:history="1">
        <w:r>
          <w:rPr>
            <w:rStyle w:val="899"/>
            <w:rFonts w:ascii="SimSun" w:hAnsi="SimSun" w:eastAsia="SimSun" w:cs="SimSun"/>
            <w:color w:val="0000ee"/>
            <w:sz w:val="28"/>
            <w:u w:val="single"/>
          </w:rPr>
          <w:t xml:space="preserve">第五章</w:t>
        </w:r>
        <w:r>
          <w:rPr>
            <w:rStyle w:val="899"/>
            <w:rFonts w:ascii="SimSun" w:hAnsi="SimSun" w:eastAsia="SimSun" w:cs="SimSun"/>
            <w:color w:val="0000ee"/>
            <w:sz w:val="28"/>
            <w:u w:val="none"/>
          </w:rPr>
          <w:t xml:space="preserve"> </w:t>
        </w:r>
        <w:r>
          <w:rPr>
            <w:rStyle w:val="899"/>
            <w:rFonts w:ascii="SimSun" w:hAnsi="SimSun" w:eastAsia="SimSun" w:cs="SimSun"/>
            <w:color w:val="0000ee"/>
            <w:sz w:val="28"/>
            <w:u w:val="single"/>
          </w:rPr>
          <w:t xml:space="preserve">工程量清单及图纸</w:t>
          <w:tab/>
        </w:r>
      </w:hyperlink>
      <w:r/>
      <w:r/>
    </w:p>
    <w:p>
      <w:pPr>
        <w:ind w:left="0" w:right="0" w:firstLine="0"/>
        <w:jc w:val="both"/>
        <w:spacing w:before="210" w:after="57" w:line="85" w:lineRule="atLeast"/>
        <w:tabs>
          <w:tab w:val="left" w:pos="8306" w:leader="none"/>
        </w:tabs>
        <w:pBdr>
          <w:top w:val="none" w:color="000000" w:sz="4" w:space="0"/>
          <w:left w:val="none" w:color="000000" w:sz="4" w:space="0"/>
          <w:bottom w:val="none" w:color="000000" w:sz="4" w:space="0"/>
          <w:right w:val="none" w:color="000000" w:sz="4" w:space="0"/>
        </w:pBdr>
      </w:pPr>
      <w:r/>
      <w:hyperlink r:id="rId16" w:tooltip="http://jszfcg.jsczt.cn/jszc/onlyoffice/7.2.1-34/web-apps/apps/documenteditor/main/index_loader.html?_dc=7.2.1-34&amp;lang=zh&amp;customer=%20&amp;logo=%20&amp;headerlogo=%2Ffavicon.ico&amp;frameEditorId=iframePage&amp;compact=true&amp;parentOrigin=http://jszfcg.jsczt.cn#_Toc21636" w:history="1">
        <w:r>
          <w:rPr>
            <w:rStyle w:val="899"/>
            <w:rFonts w:ascii="SimSun" w:hAnsi="SimSun" w:eastAsia="SimSun" w:cs="SimSun"/>
            <w:color w:val="0000ee"/>
            <w:sz w:val="28"/>
            <w:u w:val="single"/>
          </w:rPr>
          <w:t xml:space="preserve">第六章</w:t>
        </w:r>
        <w:r>
          <w:rPr>
            <w:rStyle w:val="899"/>
            <w:rFonts w:ascii="SimSun" w:hAnsi="SimSun" w:eastAsia="SimSun" w:cs="SimSun"/>
            <w:color w:val="0000ee"/>
            <w:sz w:val="28"/>
            <w:u w:val="none"/>
          </w:rPr>
          <w:t xml:space="preserve"> </w:t>
        </w:r>
        <w:r>
          <w:rPr>
            <w:rStyle w:val="899"/>
            <w:rFonts w:ascii="SimSun" w:hAnsi="SimSun" w:eastAsia="SimSun" w:cs="SimSun"/>
            <w:color w:val="0000ee"/>
            <w:sz w:val="28"/>
            <w:u w:val="single"/>
          </w:rPr>
          <w:t xml:space="preserve">评审方法和评审标准</w:t>
          <w:tab/>
        </w:r>
      </w:hyperlink>
      <w:r/>
      <w:r/>
    </w:p>
    <w:p>
      <w:pPr>
        <w:ind w:left="0" w:right="0" w:firstLine="0"/>
        <w:jc w:val="both"/>
        <w:spacing w:before="210" w:after="57" w:line="85" w:lineRule="atLeast"/>
        <w:tabs>
          <w:tab w:val="left" w:pos="8306" w:leader="none"/>
        </w:tabs>
        <w:pBdr>
          <w:top w:val="none" w:color="000000" w:sz="4" w:space="0"/>
          <w:left w:val="none" w:color="000000" w:sz="4" w:space="0"/>
          <w:bottom w:val="none" w:color="000000" w:sz="4" w:space="0"/>
          <w:right w:val="none" w:color="000000" w:sz="4" w:space="0"/>
        </w:pBdr>
      </w:pPr>
      <w:r/>
      <w:hyperlink r:id="rId17" w:tooltip="http://jszfcg.jsczt.cn/jszc/onlyoffice/7.2.1-34/web-apps/apps/documenteditor/main/index_loader.html?_dc=7.2.1-34&amp;lang=zh&amp;customer=%20&amp;logo=%20&amp;headerlogo=%2Ffavicon.ico&amp;frameEditorId=iframePage&amp;compact=true&amp;parentOrigin=http://jszfcg.jsczt.cn#_Toc5164" w:history="1">
        <w:r>
          <w:rPr>
            <w:rStyle w:val="899"/>
            <w:rFonts w:ascii="SimSun" w:hAnsi="SimSun" w:eastAsia="SimSun" w:cs="SimSun"/>
            <w:color w:val="0000ee"/>
            <w:sz w:val="28"/>
            <w:u w:val="single"/>
          </w:rPr>
          <w:t xml:space="preserve">第七章</w:t>
        </w:r>
        <w:r>
          <w:rPr>
            <w:rStyle w:val="899"/>
            <w:rFonts w:ascii="SimSun" w:hAnsi="SimSun" w:eastAsia="SimSun" w:cs="SimSun"/>
            <w:color w:val="0000ee"/>
            <w:sz w:val="28"/>
            <w:u w:val="none"/>
          </w:rPr>
          <w:t xml:space="preserve"> </w:t>
        </w:r>
        <w:r>
          <w:rPr>
            <w:rStyle w:val="899"/>
            <w:rFonts w:ascii="SimSun" w:hAnsi="SimSun" w:eastAsia="SimSun" w:cs="SimSun"/>
            <w:color w:val="0000ee"/>
            <w:sz w:val="28"/>
            <w:u w:val="single"/>
          </w:rPr>
          <w:t xml:space="preserve">竞争性磋商响应文件格式</w:t>
          <w:tab/>
        </w:r>
      </w:hyperlink>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10" w:after="57" w:line="85" w:lineRule="atLeast"/>
        <w:tabs>
          <w:tab w:val="left" w:pos="94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85" w:lineRule="atLeast"/>
        <w:tabs>
          <w:tab w:val="left" w:pos="94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240" w:after="24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第一章</w:t>
      </w:r>
      <w:r>
        <w:rPr>
          <w:rFonts w:ascii="SimSun" w:hAnsi="SimSun" w:eastAsia="SimSun" w:cs="SimSun"/>
          <w:b/>
          <w:color w:val="000000"/>
          <w:sz w:val="32"/>
        </w:rPr>
        <w:t xml:space="preserve">磋商邀请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受</w:t>
      </w:r>
      <w:r>
        <w:rPr>
          <w:rFonts w:ascii="SimSun" w:hAnsi="SimSun" w:eastAsia="SimSun" w:cs="SimSun"/>
          <w:color w:val="000000"/>
          <w:sz w:val="21"/>
          <w:u w:val="single"/>
        </w:rPr>
        <w:t xml:space="preserve"> </w:t>
      </w:r>
      <w:r>
        <w:rPr>
          <w:rFonts w:ascii="SimSun" w:hAnsi="SimSun" w:eastAsia="SimSun" w:cs="SimSun"/>
          <w:b/>
          <w:color w:val="000000"/>
          <w:sz w:val="21"/>
          <w:u w:val="single"/>
        </w:rPr>
        <w:t xml:space="preserve">赣榆区青口镇人民政府 </w:t>
      </w:r>
      <w:r>
        <w:rPr>
          <w:rFonts w:ascii="SimSun" w:hAnsi="SimSun" w:eastAsia="SimSun" w:cs="SimSun"/>
          <w:color w:val="000000"/>
          <w:sz w:val="21"/>
        </w:rPr>
        <w:t xml:space="preserve">的委托，</w:t>
      </w:r>
      <w:r>
        <w:rPr>
          <w:rFonts w:ascii="SimSun" w:hAnsi="SimSun" w:eastAsia="SimSun" w:cs="SimSun"/>
          <w:b/>
          <w:color w:val="000000"/>
          <w:sz w:val="21"/>
          <w:u w:val="single"/>
        </w:rPr>
        <w:t xml:space="preserve">江苏志诚工程咨询管理有限公司 </w:t>
      </w:r>
      <w:r>
        <w:rPr>
          <w:rFonts w:ascii="SimSun" w:hAnsi="SimSun" w:eastAsia="SimSun" w:cs="SimSun"/>
          <w:color w:val="000000"/>
          <w:sz w:val="21"/>
        </w:rPr>
        <w:t xml:space="preserve">就</w:t>
      </w:r>
      <w:r>
        <w:rPr>
          <w:rFonts w:ascii="SimSun" w:hAnsi="SimSun" w:eastAsia="SimSun" w:cs="SimSun"/>
          <w:color w:val="000000"/>
          <w:sz w:val="21"/>
          <w:u w:val="single"/>
        </w:rPr>
        <w:t xml:space="preserve"> </w:t>
      </w:r>
      <w:r>
        <w:rPr>
          <w:rFonts w:ascii="SimSun" w:hAnsi="SimSun" w:eastAsia="SimSun" w:cs="SimSun"/>
          <w:b/>
          <w:color w:val="000000"/>
          <w:sz w:val="21"/>
          <w:u w:val="single"/>
        </w:rPr>
        <w:t xml:space="preserve">青口十八勇士纪念馆改陈布展工程（政府采购工程）（专门面向中小企业） </w:t>
      </w:r>
      <w:r>
        <w:rPr>
          <w:rFonts w:ascii="SimSun" w:hAnsi="SimSun" w:eastAsia="SimSun" w:cs="SimSun"/>
          <w:color w:val="000000"/>
          <w:sz w:val="21"/>
        </w:rPr>
        <w:t xml:space="preserve">进行竞争性磋商采购，欢迎符合条件的供应商参加磋商。</w:t>
      </w:r>
      <w:r/>
    </w:p>
    <w:p>
      <w:pPr>
        <w:ind w:left="0" w:right="0" w:firstLine="480"/>
        <w:jc w:val="both"/>
        <w:spacing w:before="0" w:after="0" w:line="360"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1"/>
          <w:u w:val="none"/>
        </w:rPr>
        <w:t xml:space="preserve">项目概况</w:t>
      </w:r>
      <w:r>
        <w:rPr>
          <w:rFonts w:ascii="SimSun" w:hAnsi="SimSun" w:eastAsia="SimSun" w:cs="SimSun"/>
          <w:color w:val="000000"/>
          <w:sz w:val="21"/>
        </w:rPr>
        <w:t xml:space="preserve">：</w:t>
      </w:r>
      <w:r/>
    </w:p>
    <w:p>
      <w:pPr>
        <w:ind w:left="0" w:right="0" w:firstLine="482"/>
        <w:jc w:val="both"/>
        <w:spacing w:before="0" w:after="0" w:line="360" w:lineRule="atLeast"/>
        <w:pBdr>
          <w:top w:val="single" w:color="000000" w:sz="4" w:space="0"/>
          <w:left w:val="single" w:color="000000" w:sz="4" w:space="0"/>
          <w:bottom w:val="single" w:color="000000" w:sz="4" w:space="0"/>
          <w:right w:val="single" w:color="000000" w:sz="4" w:space="0"/>
        </w:pBdr>
      </w:pPr>
      <w:r>
        <w:rPr>
          <w:rFonts w:ascii="SimSun" w:hAnsi="SimSun" w:eastAsia="SimSun" w:cs="SimSun"/>
          <w:b/>
          <w:color w:val="000000"/>
          <w:sz w:val="21"/>
          <w:u w:val="single"/>
        </w:rPr>
        <w:t xml:space="preserve">青口十八勇士纪念馆改陈布展工程（政府采购工程）（专门面向中小企业）</w:t>
      </w:r>
      <w:r>
        <w:rPr>
          <w:rFonts w:ascii="SimSun" w:hAnsi="SimSun" w:eastAsia="SimSun" w:cs="SimSun"/>
          <w:color w:val="000000"/>
          <w:sz w:val="21"/>
        </w:rPr>
        <w:t xml:space="preserve">竞争性磋商项目的潜在供应商应在“</w:t>
      </w:r>
      <w:r>
        <w:rPr>
          <w:rFonts w:ascii="SimSun" w:hAnsi="SimSun" w:eastAsia="SimSun" w:cs="SimSun"/>
          <w:b/>
          <w:color w:val="000000"/>
          <w:sz w:val="21"/>
          <w:u w:val="single"/>
        </w:rPr>
        <w:t xml:space="preserve">江苏政府采购网</w:t>
      </w:r>
      <w:r>
        <w:rPr>
          <w:rFonts w:ascii="SimSun" w:hAnsi="SimSun" w:eastAsia="SimSun" w:cs="SimSun"/>
          <w:color w:val="000000"/>
          <w:sz w:val="21"/>
        </w:rPr>
        <w:t xml:space="preserve">”获取竞争性磋商文件，并于</w:t>
      </w:r>
      <w:r>
        <w:rPr>
          <w:rFonts w:ascii="SimSun" w:hAnsi="SimSun" w:eastAsia="SimSun" w:cs="SimSun"/>
          <w:b/>
          <w:color w:val="000000"/>
          <w:sz w:val="21"/>
          <w:u w:val="single"/>
        </w:rPr>
        <w:t xml:space="preserve">2025年11月26日09时00分</w:t>
      </w:r>
      <w:r>
        <w:rPr>
          <w:rFonts w:ascii="SimSun" w:hAnsi="SimSun" w:eastAsia="SimSun" w:cs="SimSun"/>
          <w:color w:val="000000"/>
          <w:sz w:val="21"/>
        </w:rPr>
        <w:t xml:space="preserve">（北京时间）前上传电子响应文件。</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一、项目基本情况</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1、项目编号：JSZC-320707-JSZC-C2025-0099</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2、项目名称：青口十八勇士纪念馆改陈布展工程（政府采购工程）（专门面向中小企业）</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3、采购方式：竞争性磋商；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4、预算金额：</w:t>
      </w:r>
      <w:r>
        <w:rPr>
          <w:rFonts w:ascii="SimSun" w:hAnsi="SimSun" w:eastAsia="SimSun" w:cs="SimSun"/>
          <w:b/>
          <w:color w:val="000000"/>
          <w:sz w:val="21"/>
        </w:rPr>
        <w:t xml:space="preserve">人民币300万元；</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5、最高限价：</w:t>
      </w:r>
      <w:r>
        <w:rPr>
          <w:rFonts w:ascii="SimSun" w:hAnsi="SimSun" w:eastAsia="SimSun" w:cs="SimSun"/>
          <w:b/>
          <w:color w:val="000000"/>
          <w:sz w:val="21"/>
        </w:rPr>
        <w:t xml:space="preserve">人民币297.302099万元，</w:t>
      </w:r>
      <w:r>
        <w:rPr>
          <w:rFonts w:ascii="SimSun" w:hAnsi="SimSun" w:eastAsia="SimSun" w:cs="SimSun"/>
          <w:color w:val="000000"/>
          <w:sz w:val="21"/>
        </w:rPr>
        <w:t xml:space="preserve">报价超过最高限价的按无效响应处理；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6、建设地点：连云港市赣榆区青口镇前宫路；</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工程范围：青口十八勇士纪念馆展厅改陈布展施工，包括但不限于装饰工程、安装工程、艺术展陈、多媒体硬件、数字虚拟展览及视频制作直至验收合格及缺陷责任期内的保修等全部工作，施工内容详见图纸及工程量清单；</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8、承包方式：包工包料；</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9、质量标准：执行国家现行验收标准，等级为合格；</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10、合同履行期限（工期)：30日历天；</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11、本项目</w:t>
      </w:r>
      <w:r>
        <w:rPr>
          <w:rFonts w:ascii="SimSun" w:hAnsi="SimSun" w:eastAsia="SimSun" w:cs="SimSun"/>
          <w:b/>
          <w:color w:val="000000"/>
          <w:sz w:val="21"/>
          <w:u w:val="single"/>
        </w:rPr>
        <w:t xml:space="preserve">不接受</w:t>
      </w:r>
      <w:r>
        <w:rPr>
          <w:rFonts w:ascii="SimSun" w:hAnsi="SimSun" w:eastAsia="SimSun" w:cs="SimSun"/>
          <w:color w:val="000000"/>
          <w:sz w:val="21"/>
        </w:rPr>
        <w:t xml:space="preserve">联合体参加磋商。</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二、申请人的资格要求</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（一）通用资格要求</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1、满足《中华人民共和国政府采购法》第二十二条规定，提供下列材料：</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（1）法人或者其他组织的营业执照等证明文件，自然人的身份证明；</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pacing w:val="-6"/>
          <w:sz w:val="21"/>
        </w:rPr>
        <w:t xml:space="preserve">具有良好的商业信誉和健全的财务会计制度；</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（3）依法缴纳税收和社会保障资金的相关材料；</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（4）具备履行合同所必需的设备和专业技术能力的声明及证明材料；</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（5）参加政府采购活动前三年内在经营活动中没有重大违法记录的书面声明。</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按连财购〔2023〕4号文件要求，第（2）、（3）项可以提供《财务状况报告及税收、社会保障资金缴纳情况承诺函》，并上传至电子响应文件中，详见响应文件格式。</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磋商小组在进行资格审查的同时，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SimSun" w:hAnsi="SimSun" w:eastAsia="SimSun" w:cs="SimSun"/>
          <w:b/>
          <w:color w:val="000000"/>
          <w:sz w:val="21"/>
        </w:rPr>
        <w:t xml:space="preserve">（响应文件中无需提供证明材料）</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3、落实政府采购需满足的资格要求：</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本项目执行财政部、工业和信息化部关于印发《政府采购促进中小企业发展管理办法》的通知(财库〔2020〕46号)等相关文件要求，本项目专门面向中型企业、小型企业、微型企业、残疾人福利性单位、监狱企业进行采购，符合文件要求的供应商应提交《中小企业声明函》或《残疾人福利性单位声明函》或监狱企业证明文件，并上传至电子响应文件中，详见响应文件格式，否则投标无效。</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（2）支持绿色发展</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w:t>
      </w:r>
      <w:r>
        <w:rPr>
          <w:rFonts w:ascii="SimSun" w:hAnsi="SimSun" w:eastAsia="SimSun" w:cs="SimSun"/>
          <w:b/>
          <w:color w:val="000000"/>
          <w:sz w:val="21"/>
        </w:rPr>
        <w:t xml:space="preserve">供应商须按磋商文件要求提供相关产品认证证书。</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③政府采购项目执行《财政部 生态环境部 工业和信息化部关于印发&lt;绿色数据中心政府采购需求标准（试行）&gt;的通知》（财库〔2023〕7号）相关要求。</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（二）本项目的特定资格要求：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w:t>
      </w:r>
      <w:r>
        <w:rPr>
          <w:rFonts w:ascii="SimSun" w:hAnsi="SimSun" w:eastAsia="SimSun" w:cs="SimSun"/>
          <w:b/>
          <w:color w:val="000000"/>
          <w:sz w:val="21"/>
        </w:rPr>
        <w:t xml:space="preserve">供应商须具备建设行政主管部门核发的有效的建筑装修装饰工程专业承包贰级或以上资质，并取得企业安全生产许可证（在有效期内）；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b/>
          <w:color w:val="000000"/>
          <w:sz w:val="21"/>
        </w:rPr>
        <w:t xml:space="preserve">拟派项目负责人须具备建设行政主管部门核发的有效的建筑工程专业二级或以上注册建造师资格，并具有安全生产考核合格证书（B类）（在有效期内）；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磋商供应商拟确定的授权委托代表人必须是项目负责人，不接受项目负责人以外的人员作为委托人参与磋商过程中各环节的活动。拟派项目负责人必须为供应商本单位正式职工，提供2025年6月起至今任意一个月由供应商为其缴纳的社保缴纳证明（加盖社保中心章或社保中心参保缴费证明电子专用章），供应商确定的项目负责人须全程参与磋商过程（含磋商、异议投诉等）；</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拟派项目负责人是非变更后无在建工程，或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详见响应文件格式）</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在建工程是指处于中标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（5）本项目执行江苏省住房和城乡建设厅《关于开展建筑业企业资质动态监管工作的公告》、江苏省住房和城乡建设厅公告〔2018〕6号、苏建招办〔2022〕2号文，</w:t>
      </w:r>
      <w:r>
        <w:rPr>
          <w:rFonts w:ascii="SimSun" w:hAnsi="SimSun" w:eastAsia="SimSun" w:cs="SimSun"/>
          <w:b/>
          <w:color w:val="000000"/>
          <w:sz w:val="21"/>
        </w:rPr>
        <w:t xml:space="preserve">供应商在响应文件递交截止时间当日，建筑业企业资质动态监管结果不处于不合格状态的。</w:t>
      </w:r>
      <w:r>
        <w:rPr>
          <w:rFonts w:ascii="SimSun" w:hAnsi="SimSun" w:eastAsia="SimSun" w:cs="SimSun"/>
          <w:color w:val="000000"/>
          <w:sz w:val="21"/>
        </w:rPr>
        <w:t xml:space="preserve">供应商的建筑业企业资质动态监管结果由采购人在响应文件递交截止时间当日登录“江苏省建筑市场监管与诚信信息一体化平台”进行查询获取；</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（6）供应商/投标主体及其法定代表人、项目负责人未被列入“连云港市赣榆区行贿人联合惩戒信息库。”</w:t>
      </w:r>
      <w:r>
        <w:rPr>
          <w:rFonts w:ascii="SimSun" w:hAnsi="SimSun" w:eastAsia="SimSun" w:cs="SimSun"/>
          <w:b/>
          <w:color w:val="000000"/>
          <w:sz w:val="21"/>
        </w:rPr>
        <w:t xml:space="preserve">响应文件中无需提供证明材料</w:t>
      </w:r>
      <w:r>
        <w:rPr>
          <w:rFonts w:ascii="SimSun" w:hAnsi="SimSun" w:eastAsia="SimSun" w:cs="SimSun"/>
          <w:color w:val="000000"/>
          <w:sz w:val="21"/>
        </w:rPr>
        <w:t xml:space="preserve">，采购人/采购人和区公共资源交易中心通过赣榆区行贿人联合惩戒信息库，对供应商/投标主体情况进行内部查询，查询结果页面打印留存。</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（7）供应商（超过3年）、法定代表人（超过5年）、项目负责人（超过5年）无行贿犯罪记录，企业、法定代表人及项目负责人无不良行为承诺，由供应商自行承诺。（详见响应文件格式）；</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（8）磋商单位负责人为同一人或者存在直接控股、管理关系的不同供应商，不得参加同一合同项下的政府采购活动。否则，相关磋商均无效（详见响应文件格式）；</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（9）若供应商法定代表人参与投标，则仅需提供法定代表人身份证；若授权代理人参与投标，则需提供企业法人委托书、授权人身份证、被授权人身份证（详见响应文件格式）；</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（10）本项目成交后不允许分包或转包（详见响应文件格式）；</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（11）法律、法规规定的其他条件。（如有，请按要求提供）</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三、获取</w:t>
      </w:r>
      <w:r>
        <w:rPr>
          <w:rFonts w:ascii="SimSun" w:hAnsi="SimSun" w:eastAsia="SimSun" w:cs="SimSun"/>
          <w:b/>
          <w:color w:val="000000"/>
          <w:sz w:val="21"/>
        </w:rPr>
        <w:t xml:space="preserve">磋商文件</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1、时间：</w:t>
      </w:r>
      <w:r>
        <w:rPr>
          <w:rFonts w:ascii="SimSun" w:hAnsi="SimSun" w:eastAsia="SimSun" w:cs="SimSun"/>
          <w:color w:val="000000"/>
          <w:sz w:val="21"/>
        </w:rPr>
        <w:t xml:space="preserve">自本磋商邀请发布之日起5个工作日。</w:t>
      </w:r>
      <w:r/>
    </w:p>
    <w:p>
      <w:pPr>
        <w:ind w:left="0" w:right="0" w:firstLine="482"/>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2、方式：供应商办理江苏省政府采购交易系统CA数字证书，登录“苏采云”政府采购交易系统，自行免费下载磋商文件。</w:t>
      </w:r>
      <w:r/>
    </w:p>
    <w:p>
      <w:pPr>
        <w:ind w:left="0" w:right="0" w:firstLine="482"/>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四、提交响应文件截止时间、开启时间和地点</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w:t>
      </w:r>
      <w:r>
        <w:rPr>
          <w:rFonts w:ascii="SimSun" w:hAnsi="SimSun" w:eastAsia="SimSun" w:cs="SimSun"/>
          <w:color w:val="000000"/>
          <w:sz w:val="21"/>
        </w:rPr>
        <w:t xml:space="preserve">提交响应文件截止时间：2025年11月26日09:00（北京时间）</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2、开启时间：同提交响应文件截止时间</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3、开启地点：“苏采云”政府采购交易系统网上开标大厅</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五、公告期限</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自本公告发布之日起3个工作日。</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六</w:t>
      </w:r>
      <w:r>
        <w:rPr>
          <w:rFonts w:ascii="SimSun" w:hAnsi="SimSun" w:eastAsia="SimSun" w:cs="SimSun"/>
          <w:b/>
          <w:color w:val="000000"/>
          <w:sz w:val="21"/>
        </w:rPr>
        <w:t xml:space="preserve">、其他补充事宜</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w:t>
      </w:r>
      <w:r>
        <w:rPr>
          <w:rFonts w:ascii="SimSun" w:hAnsi="SimSun" w:eastAsia="SimSun" w:cs="SimSun"/>
          <w:color w:val="000000"/>
          <w:sz w:val="21"/>
        </w:rPr>
        <w:t xml:space="preserve">、本次磋商不收取投标保证金。</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2、本项目竞争性磋商文件中标注★的款项为实质性响应要求和条件，如不满足将按无效响应文件处理。</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无论出于何种原因，采购人在采购活动开始前可对竞争性磋商文件进行修改、补充或变更，其内容作为竞争性磋商文件的重要组成部分，请各供应商关注江苏政府采购网网站。若因供应商自身原因未及时关注本项目有关修改、补充或变更信息，导致响应文件编制或提交失误，由此造成的一切损失由供应商自行承担。</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本项目采购方式为竞争性磋商，评审过程中有二次（最后）报价环节。各供应商请关注开标大厅交流区，在开标结束后，请勿离开开标大厅，等待后续磋商、报价、答疑澄清等提示。如供应商因自身原因错过相应环节，造成非实质性响应，责任自负。</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七、本次磋商联系方式</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w:t>
      </w:r>
      <w:r>
        <w:rPr>
          <w:rFonts w:ascii="SimSun" w:hAnsi="SimSun" w:eastAsia="SimSun" w:cs="SimSun"/>
          <w:color w:val="000000"/>
          <w:sz w:val="21"/>
        </w:rPr>
        <w:t xml:space="preserve">、采购人信息</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名称：赣榆区青口镇人民政府</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地</w:t>
      </w:r>
      <w:r>
        <w:rPr>
          <w:rFonts w:ascii="SimSun" w:hAnsi="SimSun" w:eastAsia="SimSun" w:cs="SimSun"/>
          <w:color w:val="000000"/>
          <w:sz w:val="21"/>
        </w:rPr>
        <w:t xml:space="preserve">    址：江苏省连云港市赣榆区青口镇宁海东路17号</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 系 人：王工</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w:t>
      </w:r>
      <w:r>
        <w:rPr>
          <w:rFonts w:ascii="SimSun" w:hAnsi="SimSun" w:eastAsia="SimSun" w:cs="SimSun"/>
          <w:color w:val="000000"/>
          <w:sz w:val="21"/>
          <w:u w:val="none"/>
        </w:rPr>
        <w:t xml:space="preserve">0518-86013896</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2.招标代理机构信息</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    称：江苏志诚工程咨询管理有限公司</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址：连云港市高新区花果山大道11号金鹰国际花园46号楼三楼</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 系 人：王工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联系方式：0518-85850559</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八、电子采购说明</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w:t>
      </w:r>
      <w:r>
        <w:rPr>
          <w:rFonts w:ascii="SimSun" w:hAnsi="SimSun" w:eastAsia="SimSun" w:cs="SimSun"/>
          <w:color w:val="000000"/>
          <w:sz w:val="21"/>
        </w:rPr>
        <w:t xml:space="preserve">3ce9.html。</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领取CA和办理电子签章，具体联系方式见《苏采云系统供应商操作手册》（以下简称《操作手册》）进行注册并按《操作手册》要求制作、上传电子响应文件。</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有关本次磋商的事项若存在变动或修改，敬请及时关注在“江苏政府采购网”发布的更正公告。若因供应商自身原因未及时关注本项目有关修改、补充或变更信息，导致响应文件编制或提交失误，由此造成的一切损失由供应商自行承担。</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第二章 磋商须知</w:t>
      </w:r>
      <w:r/>
    </w:p>
    <w:p>
      <w:pPr>
        <w:ind w:left="0" w:right="0" w:firstLine="0"/>
        <w:jc w:val="center"/>
        <w:spacing w:before="0" w:after="143"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（参加竞争性磋商的供应商以下简称“供应商”）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一、总则</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1、采购方式</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本次政府采购活动采取竞争性磋商(以下简称磋商)方式，本磋商文件仅适用于磋商邀请中所述项目。</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2、合格的供应商</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2.1满足磋商邀请中供应商资格要求的规定。</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2.2满足本磋商文件实质性要求和条件的规定。</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3、适用法律</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3.1本次磋商及由此产生的合同受中华人民共和国有关的法律法规制约和保护。</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4、参加磋商费用</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4.1参加供应商应自行承担所有与参加磋商有关的费用。无论磋商过程中的做法和结果如何，采购人或采购代理机构在任何情况下均无义务和责任承担这些费用。</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本项目的招标代理服务收费按“苏招协〔2022〕2号文”收费标准的60%收取；清单编制费按照“苏建价〔2022〕7号文”收费标准的60%收取。以上由成交供应商领取成交通知书时一次性付清。供应商在投标报价时应综合考虑以上费用，不得单列。</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5、磋商文件的约束力</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供应商一旦参加本项目采购活动，即被认为接受了本磋商文件的规定和约束，并且视为已经知道或应当知道自身权益是否受到了损害。</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rPr>
          <w:rFonts w:ascii="SimSun" w:hAnsi="SimSun" w:eastAsia="SimSun" w:cs="SimSun"/>
          <w:color w:val="000000"/>
          <w:sz w:val="21"/>
          <w:u w:val="none"/>
        </w:rPr>
        <w:t xml:space="preserve">磋商文件的</w:t>
      </w:r>
      <w:r>
        <w:rPr>
          <w:rFonts w:ascii="SimSun" w:hAnsi="SimSun" w:eastAsia="SimSun" w:cs="SimSun"/>
          <w:color w:val="000000"/>
          <w:sz w:val="21"/>
        </w:rPr>
        <w:t xml:space="preserve">询问及修改</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任何要求对磋商文件进行询问的供应商，均应在提交首次响应文件截止时间五日前按“磋商邀请”中的通讯地址，向采购人或本代理机构提出。提交首次响应文件截止之日前，本代理机构可以对已发出的磋商文件进行必要的澄清或者修改，澄清或者修改的内容作为磋商文件的组成部分。澄清或者修改的内容可能影响响应文件编制的，本代理机构将在提交首次响应文件截止时间至少五日前，在江苏政府采购网上发布公告形式通知所有获取磋商文件的供应商。不足五日的，代理机构应当顺延提交首次响应文件截止时间。</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6.2代理机构或采购人可以视采购项目的具体情况，组织供应商进行现场考察或召开磋商前答疑会，但不单独或分别组织只有一个供应商参加的现场考察和答疑会。</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7、磋商文件的解释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7.1本磋商文件由代理机构负责解释。</w:t>
      </w:r>
      <w:r/>
    </w:p>
    <w:p>
      <w:pPr>
        <w:ind w:left="0" w:right="0" w:firstLine="48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二、采购文件的构成及澄清、修改</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1、磋商采购文件构成</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要求提供的工程内容、磋商过程及合同条款在磋商文件中均有说明，采购文件分为七章，各章的内容如下：</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hyperlink r:id="rId18" w:tooltip="http://jszfcg.jsczt.cn/jszc/onlyoffice/7.2.1-34/web-apps/apps/documenteditor/main/index_loader.html?_dc=7.2.1-34&amp;lang=zh&amp;customer=%20&amp;logo=%20&amp;headerlogo=%2Ffavicon.ico&amp;frameEditorId=iframePage&amp;compact=true&amp;parentOrigin=http://jszfcg.jsczt.cn#_Toc9367" w:history="1">
        <w:r>
          <w:rPr>
            <w:rStyle w:val="899"/>
            <w:rFonts w:ascii="SimSun" w:hAnsi="SimSun" w:eastAsia="SimSun" w:cs="SimSun"/>
            <w:color w:val="0000ee"/>
            <w:sz w:val="21"/>
            <w:u w:val="single"/>
          </w:rPr>
          <w:t xml:space="preserve">（1）第一章</w:t>
        </w:r>
        <w:r>
          <w:rPr>
            <w:rStyle w:val="899"/>
            <w:rFonts w:ascii="SimSun" w:hAnsi="SimSun" w:eastAsia="SimSun" w:cs="SimSun"/>
            <w:color w:val="0000ee"/>
            <w:sz w:val="21"/>
            <w:u w:val="none"/>
          </w:rPr>
          <w:t xml:space="preserve"> </w:t>
        </w:r>
        <w:r>
          <w:rPr>
            <w:rStyle w:val="899"/>
            <w:rFonts w:ascii="SimSun" w:hAnsi="SimSun" w:eastAsia="SimSun" w:cs="SimSun"/>
            <w:color w:val="0000ee"/>
            <w:sz w:val="21"/>
            <w:u w:val="single"/>
          </w:rPr>
          <w:t xml:space="preserve">磋</w:t>
        </w:r>
      </w:hyperlink>
      <w:r>
        <w:rPr>
          <w:rFonts w:ascii="SimSun" w:hAnsi="SimSun" w:eastAsia="SimSun" w:cs="SimSun"/>
          <w:color w:val="000000"/>
          <w:sz w:val="21"/>
        </w:rPr>
        <w:t xml:space="preserve">商邀请</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hyperlink r:id="rId19" w:tooltip="http://jszfcg.jsczt.cn/jszc/onlyoffice/7.2.1-34/web-apps/apps/documenteditor/main/index_loader.html?_dc=7.2.1-34&amp;lang=zh&amp;customer=%20&amp;logo=%20&amp;headerlogo=%2Ffavicon.ico&amp;frameEditorId=iframePage&amp;compact=true&amp;parentOrigin=http://jszfcg.jsczt.cn#_Toc21453" w:history="1">
        <w:r>
          <w:rPr>
            <w:rStyle w:val="899"/>
            <w:rFonts w:ascii="SimSun" w:hAnsi="SimSun" w:eastAsia="SimSun" w:cs="SimSun"/>
            <w:color w:val="0000ee"/>
            <w:sz w:val="21"/>
            <w:u w:val="single"/>
          </w:rPr>
          <w:t xml:space="preserve">（2）第二章</w:t>
        </w:r>
        <w:r>
          <w:rPr>
            <w:rStyle w:val="899"/>
            <w:rFonts w:ascii="SimSun" w:hAnsi="SimSun" w:eastAsia="SimSun" w:cs="SimSun"/>
            <w:color w:val="0000ee"/>
            <w:sz w:val="21"/>
            <w:u w:val="none"/>
          </w:rPr>
          <w:t xml:space="preserve"> </w:t>
        </w:r>
        <w:r>
          <w:rPr>
            <w:rStyle w:val="899"/>
            <w:rFonts w:ascii="SimSun" w:hAnsi="SimSun" w:eastAsia="SimSun" w:cs="SimSun"/>
            <w:color w:val="0000ee"/>
            <w:sz w:val="21"/>
            <w:u w:val="single"/>
          </w:rPr>
          <w:t xml:space="preserve">磋商须知</w:t>
        </w:r>
      </w:hyperlink>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hyperlink r:id="rId20" w:tooltip="http://jszfcg.jsczt.cn/jszc/onlyoffice/7.2.1-34/web-apps/apps/documenteditor/main/index_loader.html?_dc=7.2.1-34&amp;lang=zh&amp;customer=%20&amp;logo=%20&amp;headerlogo=%2Ffavicon.ico&amp;frameEditorId=iframePage&amp;compact=true&amp;parentOrigin=http://jszfcg.jsczt.cn#_Toc14554" w:history="1">
        <w:r>
          <w:rPr>
            <w:rStyle w:val="899"/>
            <w:rFonts w:ascii="SimSun" w:hAnsi="SimSun" w:eastAsia="SimSun" w:cs="SimSun"/>
            <w:color w:val="0000ee"/>
            <w:sz w:val="21"/>
            <w:u w:val="single"/>
          </w:rPr>
          <w:t xml:space="preserve">（3）第三章</w:t>
        </w:r>
        <w:r>
          <w:rPr>
            <w:rStyle w:val="899"/>
            <w:rFonts w:ascii="SimSun" w:hAnsi="SimSun" w:eastAsia="SimSun" w:cs="SimSun"/>
            <w:color w:val="0000ee"/>
            <w:sz w:val="21"/>
            <w:u w:val="none"/>
          </w:rPr>
          <w:t xml:space="preserve"> </w:t>
        </w:r>
        <w:r>
          <w:rPr>
            <w:rStyle w:val="899"/>
            <w:rFonts w:ascii="SimSun" w:hAnsi="SimSun" w:eastAsia="SimSun" w:cs="SimSun"/>
            <w:color w:val="0000ee"/>
            <w:sz w:val="21"/>
            <w:u w:val="single"/>
          </w:rPr>
          <w:t xml:space="preserve">合同条款及格式</w:t>
        </w:r>
      </w:hyperlink>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hyperlink r:id="rId21" w:tooltip="http://jszfcg.jsczt.cn/jszc/onlyoffice/7.2.1-34/web-apps/apps/documenteditor/main/index_loader.html?_dc=7.2.1-34&amp;lang=zh&amp;customer=%20&amp;logo=%20&amp;headerlogo=%2Ffavicon.ico&amp;frameEditorId=iframePage&amp;compact=true&amp;parentOrigin=http://jszfcg.jsczt.cn#_Toc18837" w:history="1">
        <w:r>
          <w:rPr>
            <w:rStyle w:val="899"/>
            <w:rFonts w:ascii="SimSun" w:hAnsi="SimSun" w:eastAsia="SimSun" w:cs="SimSun"/>
            <w:color w:val="0000ee"/>
            <w:sz w:val="21"/>
            <w:u w:val="single"/>
          </w:rPr>
          <w:t xml:space="preserve">（4）第四章</w:t>
        </w:r>
        <w:r>
          <w:rPr>
            <w:rStyle w:val="899"/>
            <w:rFonts w:ascii="SimSun" w:hAnsi="SimSun" w:eastAsia="SimSun" w:cs="SimSun"/>
            <w:color w:val="0000ee"/>
            <w:sz w:val="21"/>
            <w:u w:val="none"/>
          </w:rPr>
          <w:t xml:space="preserve"> </w:t>
        </w:r>
        <w:r>
          <w:rPr>
            <w:rStyle w:val="899"/>
            <w:rFonts w:ascii="SimSun" w:hAnsi="SimSun" w:eastAsia="SimSun" w:cs="SimSun"/>
            <w:color w:val="0000ee"/>
            <w:sz w:val="21"/>
            <w:u w:val="single"/>
          </w:rPr>
          <w:t xml:space="preserve">项目需求</w:t>
          <w:tab/>
        </w:r>
      </w:hyperlink>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hyperlink r:id="rId22" w:tooltip="http://jszfcg.jsczt.cn/jszc/onlyoffice/7.2.1-34/web-apps/apps/documenteditor/main/index_loader.html?_dc=7.2.1-34&amp;lang=zh&amp;customer=%20&amp;logo=%20&amp;headerlogo=%2Ffavicon.ico&amp;frameEditorId=iframePage&amp;compact=true&amp;parentOrigin=http://jszfcg.jsczt.cn#_Toc28603" w:history="1">
        <w:r>
          <w:rPr>
            <w:rStyle w:val="899"/>
            <w:rFonts w:ascii="SimSun" w:hAnsi="SimSun" w:eastAsia="SimSun" w:cs="SimSun"/>
            <w:color w:val="0000ee"/>
            <w:sz w:val="21"/>
            <w:u w:val="single"/>
          </w:rPr>
          <w:t xml:space="preserve">（5）第五章</w:t>
        </w:r>
        <w:r>
          <w:rPr>
            <w:rStyle w:val="899"/>
            <w:rFonts w:ascii="SimSun" w:hAnsi="SimSun" w:eastAsia="SimSun" w:cs="SimSun"/>
            <w:color w:val="0000ee"/>
            <w:sz w:val="21"/>
            <w:u w:val="none"/>
          </w:rPr>
          <w:t xml:space="preserve"> </w:t>
        </w:r>
        <w:r>
          <w:rPr>
            <w:rStyle w:val="899"/>
            <w:rFonts w:ascii="SimSun" w:hAnsi="SimSun" w:eastAsia="SimSun" w:cs="SimSun"/>
            <w:color w:val="0000ee"/>
            <w:sz w:val="21"/>
            <w:u w:val="single"/>
          </w:rPr>
          <w:t xml:space="preserve">工程量清单及图纸</w:t>
          <w:tab/>
        </w:r>
      </w:hyperlink>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hyperlink r:id="rId23" w:tooltip="http://jszfcg.jsczt.cn/jszc/onlyoffice/7.2.1-34/web-apps/apps/documenteditor/main/index_loader.html?_dc=7.2.1-34&amp;lang=zh&amp;customer=%20&amp;logo=%20&amp;headerlogo=%2Ffavicon.ico&amp;frameEditorId=iframePage&amp;compact=true&amp;parentOrigin=http://jszfcg.jsczt.cn#_Toc31702" w:history="1">
        <w:r>
          <w:rPr>
            <w:rStyle w:val="899"/>
            <w:rFonts w:ascii="SimSun" w:hAnsi="SimSun" w:eastAsia="SimSun" w:cs="SimSun"/>
            <w:color w:val="0000ee"/>
            <w:sz w:val="21"/>
            <w:u w:val="single"/>
          </w:rPr>
          <w:t xml:space="preserve">（6）第六章</w:t>
        </w:r>
        <w:r>
          <w:rPr>
            <w:rStyle w:val="899"/>
            <w:rFonts w:ascii="SimSun" w:hAnsi="SimSun" w:eastAsia="SimSun" w:cs="SimSun"/>
            <w:color w:val="0000ee"/>
            <w:sz w:val="21"/>
            <w:u w:val="none"/>
          </w:rPr>
          <w:t xml:space="preserve"> </w:t>
        </w:r>
        <w:r>
          <w:rPr>
            <w:rStyle w:val="899"/>
            <w:rFonts w:ascii="SimSun" w:hAnsi="SimSun" w:eastAsia="SimSun" w:cs="SimSun"/>
            <w:color w:val="0000ee"/>
            <w:sz w:val="21"/>
            <w:u w:val="single"/>
          </w:rPr>
          <w:t xml:space="preserve">评审方法和评审标准</w:t>
          <w:tab/>
        </w:r>
      </w:hyperlink>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hyperlink r:id="rId24" w:tooltip="http://jszfcg.jsczt.cn/jszc/onlyoffice/7.2.1-34/web-apps/apps/documenteditor/main/index_loader.html?_dc=7.2.1-34&amp;lang=zh&amp;customer=%20&amp;logo=%20&amp;headerlogo=%2Ffavicon.ico&amp;frameEditorId=iframePage&amp;compact=true&amp;parentOrigin=http://jszfcg.jsczt.cn#_Toc3613" w:history="1">
        <w:r>
          <w:rPr>
            <w:rStyle w:val="899"/>
            <w:rFonts w:ascii="SimSun" w:hAnsi="SimSun" w:eastAsia="SimSun" w:cs="SimSun"/>
            <w:color w:val="0000ee"/>
            <w:sz w:val="21"/>
            <w:u w:val="single"/>
          </w:rPr>
          <w:t xml:space="preserve">（7）第七章</w:t>
        </w:r>
        <w:r>
          <w:rPr>
            <w:rStyle w:val="899"/>
            <w:rFonts w:ascii="SimSun" w:hAnsi="SimSun" w:eastAsia="SimSun" w:cs="SimSun"/>
            <w:color w:val="0000ee"/>
            <w:sz w:val="21"/>
            <w:u w:val="none"/>
          </w:rPr>
          <w:t xml:space="preserve"> </w:t>
        </w:r>
        <w:r>
          <w:rPr>
            <w:rStyle w:val="899"/>
            <w:rFonts w:ascii="SimSun" w:hAnsi="SimSun" w:eastAsia="SimSun" w:cs="SimSun"/>
            <w:color w:val="0000ee"/>
            <w:sz w:val="21"/>
            <w:u w:val="single"/>
          </w:rPr>
          <w:t xml:space="preserve">竞争性磋商响应文件格式</w:t>
          <w:tab/>
        </w:r>
      </w:hyperlink>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1.2根据对采购文件所作的澄清、修改，构成采购文件的组成部分。采购文件的澄清、修改内容与采购文件相互矛盾时，以发布时间在后的文件为准。</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2、采购文件的澄清、修改</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2.1采购文件的澄清</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2.1.1本项目采购文件的澄清采用下列第</w:t>
      </w:r>
      <w:r>
        <w:rPr>
          <w:rFonts w:ascii="SimSun" w:hAnsi="SimSun" w:eastAsia="SimSun" w:cs="SimSun"/>
          <w:color w:val="000000"/>
          <w:sz w:val="21"/>
          <w:u w:val="single"/>
        </w:rPr>
        <w:t xml:space="preserve">（1）</w:t>
      </w:r>
      <w:r>
        <w:rPr>
          <w:rFonts w:ascii="SimSun" w:hAnsi="SimSun" w:eastAsia="SimSun" w:cs="SimSun"/>
          <w:color w:val="000000"/>
          <w:sz w:val="21"/>
        </w:rPr>
        <w:t xml:space="preserve">种方式：</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(1)供应商在收到采购文件（含工程量清单）和踏勘现场后，若有疑问需要澄清，应于收到采购文件后</w:t>
      </w:r>
      <w:r>
        <w:rPr>
          <w:rFonts w:ascii="SimSun" w:hAnsi="SimSun" w:eastAsia="SimSun" w:cs="SimSun"/>
          <w:color w:val="000000"/>
          <w:sz w:val="21"/>
          <w:u w:val="single"/>
        </w:rPr>
        <w:t xml:space="preserve"> 5 </w:t>
      </w:r>
      <w:r>
        <w:rPr>
          <w:rFonts w:ascii="SimSun" w:hAnsi="SimSun" w:eastAsia="SimSun" w:cs="SimSun"/>
          <w:color w:val="000000"/>
          <w:sz w:val="21"/>
        </w:rPr>
        <w:t xml:space="preserve">日内以书面形式（包括书面文字、传真、电子邮件等）并加盖公章向采购人或代理机构提出，否则，由此产生的后果由供应商负责。</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(2)供应商在收到采购文件和踏勘现场后，若有疑问需要澄清，应于收到采购文件后</w:t>
      </w:r>
      <w:r>
        <w:rPr>
          <w:rFonts w:ascii="SimSun" w:hAnsi="SimSun" w:eastAsia="SimSun" w:cs="SimSun"/>
          <w:color w:val="000000"/>
          <w:sz w:val="21"/>
          <w:u w:val="single"/>
        </w:rPr>
        <w:t xml:space="preserve"> 3 </w:t>
      </w:r>
      <w:r>
        <w:rPr>
          <w:rFonts w:ascii="SimSun" w:hAnsi="SimSun" w:eastAsia="SimSun" w:cs="SimSun"/>
          <w:color w:val="000000"/>
          <w:sz w:val="21"/>
        </w:rPr>
        <w:t xml:space="preserve">日内以书面形式（包括书面文字、传真、电子邮件等）并加盖公章向采购人或代理机构提出，否则，由此产生的后果由供应商负责。</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代理机构不能保证所提供的工程量清单（包括但不限于分部分项工程量清单和措施项目清单）中清单项目的完全性和工程量的准确性，供应商收到采购文件后应认真审核和计量本采购工程的项目内容及工程量清单数量，核实代理机构发出的工程量清单的准确性。供应商可以对代理机构提供的工程量清单项目和项目的工程量进行调整，但调整不能在原清单的基础上直接进行，即不能直接修改原清单的工程量，不能直接删除或在中间插入需补充的清单项目，而应当于收到采购文件后</w:t>
      </w:r>
      <w:r>
        <w:rPr>
          <w:rFonts w:ascii="SimSun" w:hAnsi="SimSun" w:eastAsia="SimSun" w:cs="SimSun"/>
          <w:color w:val="000000"/>
          <w:sz w:val="21"/>
          <w:u w:val="single"/>
        </w:rPr>
        <w:t xml:space="preserve">  5  </w:t>
      </w:r>
      <w:r>
        <w:rPr>
          <w:rFonts w:ascii="SimSun" w:hAnsi="SimSun" w:eastAsia="SimSun" w:cs="SimSun"/>
          <w:color w:val="000000"/>
          <w:sz w:val="21"/>
        </w:rPr>
        <w:t xml:space="preserve">日内将需调整修正的部分以书面形式（包括书面文字、传真、电子邮件等）告知代理机构。其中工程量清单在磋商采购答疑时与采购人和代理机构共同核对并修改，磋商采购答疑结束后工程量清单一律不作调整。代理机构经核实确认后，于开标截止日期5天前予以答复，并将答复以修改通知的方式书面提供给所有供应商，若采购人没有予以答复，供应商在磋商单价中综合考虑。</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2.1.3供应商对代理机构提供的采购文件所做出的推论、解释和结论，采购人和代理机构概不负责。供应商由于对采购文件的任何推论和误解以及对采购人或代理机构就有关问题的口头解释所造成的后果，均由供应商自负。</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2.1.4所有问题的解答，采购人或代理机构将在5日内提供给所有供应商。由此而产生的对采购文件内容的修改，以补充通知的方式发出。</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2.2采购文件的修改</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2.2.1代理机构对已发出的采购文件进行必要修改的，应当在采购文件要求提交响应文件截止时间5日前，在“江苏政府采购网”上发布更正公告。</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2.2.2代理机构和采购人可以视采购具体情况，延长响应文件提交截止时间和磋商时间，但至少应当在采购文件要求提交响应文件的截止时间5日前发给所有供应商，并在“江苏政府采购网”媒体上发布变更公告。</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2.3采购文件发布后，采购人确需对采购文件进行澄清或修改的，采购人将通过“江苏政府采购网”发给所有供应商。</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2.4澄清或修改文件按采购文件规定发出之时起，视为供应商已收到该澄清文件。供应商未及时查阅采购文件的澄清，或未按照澄清后的采购文件编制响应文件，由此造成的后果由供应商自行承担。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三、响应文件的报价</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1、磋商响应报价</w:t>
      </w:r>
      <w:r/>
    </w:p>
    <w:p>
      <w:pPr>
        <w:ind w:left="0" w:right="0" w:firstLine="420"/>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磋商响应报价应包括采购文件所确定的采购范围内相应工程量清单、规范、图纸、技术要求等有关文件而进行的施工、竣工验收合格及保修工作，以及为完成上述内容所需的全部费用。包括但不限于施工设备、劳务、管理、材料、采购、运输、场内二次搬运、材料检验检测、赶工措施费、装卸、保管、制造、安装、系统调试等产生的费用以及为保证本项目送电成功且竣工验收合格所产生的与供电部门协调和手续办理等费用。</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1.2磋商响应报价方式：本工程采用下列第</w:t>
      </w:r>
      <w:r>
        <w:rPr>
          <w:rFonts w:ascii="SimSun" w:hAnsi="SimSun" w:eastAsia="SimSun" w:cs="SimSun"/>
          <w:color w:val="000000"/>
          <w:sz w:val="21"/>
          <w:u w:val="single"/>
        </w:rPr>
        <w:t xml:space="preserve"> (1) </w:t>
      </w:r>
      <w:r>
        <w:rPr>
          <w:rFonts w:ascii="SimSun" w:hAnsi="SimSun" w:eastAsia="SimSun" w:cs="SimSun"/>
          <w:color w:val="000000"/>
          <w:sz w:val="21"/>
        </w:rPr>
        <w:t xml:space="preserve">种方式。</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固定单价报价：供应商应根据采购文件要求及施工现场条件，充分考虑施工期间各类建材的市场风险和政策性调整确定风险系数计入综合单价，今后不作调整。设计变更和采购人要求变动的内容除外。结算方式在合同专用条款中明确。本次采购采用竞争性磋商，因第二轮报价只报总价，结算时，以成交人提交的综合单价同比下浮【下浮率=（1-第二轮报价/第一轮报价）*100%】。</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(2)可调价格报价：供应商的磋商响应报价可根据合同实施期间的市场变化和政策性调整而变动。</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1.3磋商响应报价的计价方法</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(1)本工程项目采用</w:t>
      </w:r>
      <w:r>
        <w:rPr>
          <w:rFonts w:ascii="SimSun" w:hAnsi="SimSun" w:eastAsia="SimSun" w:cs="SimSun"/>
          <w:color w:val="000000"/>
          <w:sz w:val="21"/>
          <w:u w:val="single"/>
        </w:rPr>
        <w:t xml:space="preserve"> </w:t>
      </w:r>
      <w:r>
        <w:rPr>
          <w:rFonts w:ascii="SimSun" w:hAnsi="SimSun" w:eastAsia="SimSun" w:cs="SimSun"/>
          <w:b/>
          <w:color w:val="000000"/>
          <w:sz w:val="21"/>
          <w:u w:val="single"/>
        </w:rPr>
        <w:t xml:space="preserve">工程量清单</w:t>
      </w:r>
      <w:r>
        <w:rPr>
          <w:rFonts w:ascii="SimSun" w:hAnsi="SimSun" w:eastAsia="SimSun" w:cs="SimSun"/>
          <w:color w:val="000000"/>
          <w:sz w:val="21"/>
          <w:u w:val="single"/>
        </w:rPr>
        <w:t xml:space="preserve"> </w:t>
      </w:r>
      <w:r>
        <w:rPr>
          <w:rFonts w:ascii="SimSun" w:hAnsi="SimSun" w:eastAsia="SimSun" w:cs="SimSun"/>
          <w:color w:val="000000"/>
          <w:sz w:val="21"/>
        </w:rPr>
        <w:t xml:space="preserve">计价方法。供应商应根据采购人提供的工程量清单计算单价、合价以及各种政策性费用。</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除非合同中另有规定，供应商在报价中所报的单价和合价，以及磋商响应报价表中的价格均包括完成该工程项目的成本、利润、税金、开办费、技术措施费、机械进退场费、风险费、政策性文件规定费用等所有费用。</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(3)采购人保留根据项目实际需求调整工程量清单及施工图纸的权利，供应商应充分评估潜在变更风险，并在投标报价中综合考虑可能产生的费用波动。</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1.4可选用的工程预算、费用定额和政策性文件</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（1）用于响应报价可参考的依据为：《建设工程工程量清单计价规范》（2013版）、《江苏省建设工程费用定额》(2014)、《江苏省市政工程计价定额》、近期的《赣榆区建设工程材料信息价》。</w:t>
      </w:r>
      <w:r/>
    </w:p>
    <w:p>
      <w:pPr>
        <w:ind w:left="0" w:right="0" w:firstLine="420"/>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（2）政策性文件按照现行江苏省建设厅、连云港市建设局颁发的相关文件规定执行。</w:t>
      </w:r>
      <w:r/>
    </w:p>
    <w:p>
      <w:pPr>
        <w:ind w:left="0" w:right="0" w:firstLine="482"/>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 经磋商后，如果最后报价高于或低于磋商供应商在响应文件首次报价的，分项报价同比例调整。最低报价不能作为成交的保证。</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2、磋商响应货币</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2.1磋商响应以人民币报价。</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3、磋商响应报价的编制要求</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3.1磋商供应商必须按工程量清单，用综合单价法编制投标报价。工程量清单数量、暂定价、暂估价、独立费不得变更、不得优惠，否则视为重大偏差。</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供应商应按代理机构提供的工程量清单（如有调整以代理机构最终发出的修改通知中核实确认的工程量为准）中列出的工程项目和工程量计算填写单价、合价。此处的单价为综合单价，系指完成工程量清单中一个子目所需的人工费、机械费、材料费、管理费、利润等一切费用的总和，磋商响应报价时列出综合单价的详细组价及单价分析表。该综合单价将贯穿于磋商响应报价、工程款支付和竣工结算的始终，除本采购文件和合同另有约定外，不得调整。</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供应商应根据本工程和供应商的自身情况，一次性地报出本工程的分部分项工程费、措施项目费、其他项目费、规费和税金。凡属于措施项目和其他项目费，而供应商未做相应报价的，将被认为供应商已经在磋商响应报价的其他项目中作了相应的考虑，无论出现何种情况，此两项费用在工程结算时均不做调整（包括工程施工过程中对同样的和类似的工程进行设计变更部分）。</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无论供应商是否对施工现场和周围环境进行了勘察，都应确保充分理解工地的位置、情况、道路、储存空间、装卸条件以及任何其他可能影响成本的因素。供应商应根据自身实际情况，制订工程的施工方案或施工组织设计进行投标报价。成交后，不论施工方案或施工组织设计发生任何变化，合同价款均不予调整，任何因忽视或误解工地情况而导致的索赔或工期延长申请将不被批准。</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3.5供应商应对工程量清单中的每一个子目均列出单价、合价，没有填写单价、合价的项目，其费用将被认为已包括在工程量清单其他项目的单价、合价中。</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供应商在磋商响应报价时不能改变编码、项目名称及项目特征描述。供应商的单价，不论其对应的项目特征是否描述完全，都将被视为已包括在《建设工程工程量清单计价规范》所对应的项目编码和项目名称的所有工程内容及完成此项工作内容而必需的各种辅助工作中。</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3.7下列费用为不可竞争费用，不可竞争费用应严格执行有关费用标准，不得降低标准进行投标，否则作无效响应处理。</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（1）规费：包括环境保护税、社会保障费及住房公积金，应按照有权部门规定计取。 </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（2）税金：包括按规定必须计入工程造价的增值税、城市维护建设税和教育费附加， 按照不含税工程造价乘以工程所在地的税率计算。</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（3）安全文明施工费：包括安全文明施工基本费、增加费、扬尘费，应按照有关部门规定计取。</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本工程范围内所涉及的所有材料检验检测费用，由供应商支付，同时检测单位的选择必须经发包人同意并签署三方协议，费用由供应商承担。检验检测费用包含甲供、乙供材料的抽样配合、送检、检验、抽样检测费等费用，以及按现行规定、质监部门要求对工程实体或有关材料、设备的检验、抽样检测费、环保检测等费用。</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3.9供应商自行踏勘现场，土方开挖、土方回填、土方外运、建筑垃圾外运、外运堆放场地及运距等综合考虑在报价中。</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3.10采购人向供应商提供的有关施工现场的资料和数据是采购人现有的能使供应商利用的资料。采购人对供应商由此做出的推论、理解和结论概不负责。</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3.11因有工程变更造成的工程量清单增减，按采购人签证现场签证，竣工结算时进行调整。工程变更调整的原则为：（1）报价中原有的子项，按磋商响应报价的单价计算；（2）新增加的近似子项参照相近的子项单价计算；（3）无相同或近似的子项，由供应商报价并经采购人审核确定。</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3.12供应商应当在采购文件中详细、定量地列出优惠让利的理由及所采取的技术措施。</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四</w:t>
      </w:r>
      <w:r>
        <w:rPr>
          <w:rFonts w:ascii="SimSun" w:hAnsi="SimSun" w:eastAsia="SimSun" w:cs="SimSun"/>
          <w:b/>
          <w:color w:val="000000"/>
          <w:sz w:val="21"/>
        </w:rPr>
        <w:t xml:space="preserve">、磋商响应文件的编制</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1.响应文件</w:t>
      </w:r>
      <w:r>
        <w:rPr>
          <w:rFonts w:ascii="SimSun" w:hAnsi="SimSun" w:eastAsia="SimSun" w:cs="SimSun"/>
          <w:color w:val="000000"/>
          <w:sz w:val="21"/>
        </w:rPr>
        <w:t xml:space="preserve">编制要求</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1.1磋商供应商应仔细阅读磋商文件的所有内容，按照磋商文件的要求编制响应文件。响应文件应当对磋商文件提出的要求和条件作出明确响应，并保证所提供的全部资料的真实性，</w:t>
      </w:r>
      <w:r>
        <w:rPr>
          <w:rFonts w:ascii="SimSun" w:hAnsi="SimSun" w:eastAsia="SimSun" w:cs="SimSun"/>
          <w:b/>
          <w:color w:val="000000"/>
          <w:sz w:val="21"/>
        </w:rPr>
        <w:t xml:space="preserve">否则作无效响应处理</w:t>
      </w:r>
      <w:r>
        <w:rPr>
          <w:rFonts w:ascii="SimSun" w:hAnsi="SimSun" w:eastAsia="SimSun" w:cs="SimSun"/>
          <w:color w:val="000000"/>
          <w:sz w:val="21"/>
        </w:rPr>
        <w:t xml:space="preserve">。</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1.2响应文件不得涂改、行间插字或删除，如出现上述情况应重新编制。</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1.3磋商供应商提交的响应文件以及磋商供应商与代理机构及采购人就有关磋商的所有来往函电均应使用简体中文。磋商文件中既有中文也有外文的，以中文意义为准。</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1.4除技术性能另有规定外，响应文件所使用的度量衡单位，均须采用国家法定计量单位。</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1.5磋商供应商必须使用苏采云系统制作工具编制响应文件，系统操作流程详见《操作手册》。</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参加磋商供应商资格的文件证明</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磋商供应商应提交证明其有资格参加磋商和成交后有能力独立履行合同的文件，并作为其响应文件的一部分。</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磋商供应商除必须具有履行合同所需提供的设备以及服务的能力外，还必须具备相应的财务、技术方面的能力。</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 磋商供应商应填写并提交磋商文件所附的“资格证明文件”。</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磋商响应报价表</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磋商供应商应按照磋商文件规定格式填报磋商响应报价表。每项产品或服务只允许有一个报价，任何有选择的报价将不予接受，磋商文件中另有规定的按规定执行。</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3.2标的物</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详见项目需求。</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3.3有关费用处理</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本次采购磋商供应商的总报价应包括为完成本项目发生的所有费用，本磋商文件中另有规定的除外。</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3.4其他费用处理</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磋商文件未列明，而磋商供应商认为必需的费用也须列入报价。</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3.5报价采用的货币</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响应文件中的单价和总价，无特殊规定的采用人民币报价，以元为单位标注。磋商文件中另有规定的按规定执行。</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3.6磋商响应报价表上的价格应按磋商文件规定填写。</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4.项目需求响应方案</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4.1提供完成本项目的技术方案</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4.2对磋商文件中项目需求的技术与商务条款要求作出应答，并提供依据或说明。</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4.3磋商供应商认为需要的其他技术文件或说明。</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5.磋商响应文件签署</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响应文件应由法定代表人或其委托代理人在规定签章处逐一签字或盖章并加盖供应商公章（相关内容可以打印、签字、盖章后扫描电子件）或使用电子签章，本磋商文件所表述的公章是指刻有供应商法定名称的印章，不包括合同、财务、税务、发票等形式的业务专用章。</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五、响应文件的递交</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1.响应文件的上传、修改和撤回</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1.1供应商应当使用响应文件制作工具，生成加密电子响应文件一份，在规定的截止时间前上传，迟于截止时间的不予接收。</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1.2供应商在上传响应文件后可以对其修改或撤回，但这种修改或撤回，必须在规定的响应文件接收截止时间前。 </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1.3如需对电子响应文件修改，供应商可以在截止时间前登录苏采云系统撤回文件，并上传新的响应文件，响应文件以最终完成上传的为准。</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1.4供应商不得在响应文件接收截止时间后修改响应文件，也不得在响应文件接收截止时间起至投标有效期满前撤回响应文件。 </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2.磋商响应有效期</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2.1磋商响应有效期为代理机构规定的响应文件接收截止时间后六十（60）天。磋商响应有效期比规定短将被视为非实质性响应而予以拒绝。</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同时受磋商响应有效期约束的所有权利与义务均延长至新的有效期。</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六、磋商与评审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1.磋商开始仪式</w:t>
      </w:r>
      <w:r/>
    </w:p>
    <w:p>
      <w:pPr>
        <w:ind w:left="0" w:right="0" w:firstLine="482"/>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代理机构将在本磋商文件第一章“磋商邀请”中规定的时间和地点组织磋商开始仪式，仪式由代理机构主持，本项目采用远程不见面交易方式，通过不见面交易系统及配套硬件设备（摄像头、话筒、音响等）完成远程解密，现场异议及回复，开标唱标（开启）等交互环节，具体详见第一章“磋商邀请”。</w:t>
      </w:r>
      <w:r/>
    </w:p>
    <w:p>
      <w:pPr>
        <w:ind w:left="0" w:right="0" w:firstLine="482"/>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1.2供应商解密响应文件后，“苏采云系统”将自动宣读每份电子响应文件中的相关内容。</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2.磋商小组</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2.1磋商开始仪式结束后，代理机构将立即组织磋商小组进行评审、磋商。</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2.2磋商小组由评审专家和采购人代表组成，且人员构成符合政府采购有关规定。</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3.磋商评审过程的保密与公正</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3.1磋商小组应当遵守评审工作纪律，不得泄露评审情况和评审中获悉的商业秘密。</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3.2在磋商评审过程中，供应商不得以任何行为影响磋商评审过程，否则其响应文件将被作为无效响应文件。</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4.评审过程的澄清、说明和更正</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4.1磋商小组在对响应文件的有效性、完整性和响应程度进行审查时，可以要求供应商对响应文件中含义不明确、同类问题表述不一致或者有明显文字和计算错误的内容等作出必要的澄清、说明或者更正。</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ascii="SimSun" w:hAnsi="SimSun" w:eastAsia="SimSun" w:cs="SimSun"/>
          <w:b/>
          <w:color w:val="000000"/>
          <w:sz w:val="21"/>
        </w:rPr>
        <w:t xml:space="preserve">不得超出响应文件的范围或者改变响应文件的实质性内容。</w:t>
      </w:r>
      <w:r>
        <w:rPr>
          <w:rFonts w:ascii="SimSun" w:hAnsi="SimSun" w:eastAsia="SimSun" w:cs="SimSun"/>
          <w:color w:val="000000"/>
          <w:sz w:val="21"/>
        </w:rPr>
        <w:t xml:space="preserve">供应商的澄清文件是响应文件的组成部分。</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4.3接到磋商小组澄清、说明或者更正要求的供应商如未按规定作出，其风险由供应商自行承担。</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5.对响应文件的初审</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5.1响应文件初审分为资格性审查和符合性审查。</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资格性检查：依据法律法规和磋商文件的规定，对响应文件中的资格证明文件进行审查，以确定供应商是否具备参加磋商的资格。</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磋商小组在进行资格审查的同时，将在“信用中国”网站（www.creditchina.gov.cn）查询供应商的信用记录，以确定供应商是否具备磋商资格，查询结果留存并归档。</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符合性检查：依据磋商文件的规定，从响应文件的有效性、完整性和对磋商文件的响应程度进行审查，以确定是否对磋商文件的实质性要求作出响应。</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未实质性响应磋商文件的响应文件按无效响应处理，磋商小组应当告知提交响应文件的供应商。</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5.2在磋商之前，磋商小组将首先审查每份响应文件是否实质性响应了磋商文件的要求。实质性响应的响应文件是与磋商文件要求的全部实质性条款、条件且其余非实质性技术及商务条款没有重大偏离或保留。</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所谓重大偏离或保留</w:t>
      </w:r>
      <w:r>
        <w:rPr>
          <w:rFonts w:ascii="SimSun" w:hAnsi="SimSun" w:eastAsia="SimSun" w:cs="SimSun"/>
          <w:color w:val="000000"/>
          <w:sz w:val="21"/>
        </w:rPr>
        <w:t xml:space="preserve">，是指与磋商文件规定的主要技术指标或重要的商务条款或除上述以外的多项指标要求存在负偏离，或者在实质上与磋商文件不一致，而且限制了合同中采购人和见证方的权利或供应商的义务，保留或给予纠正这些偏离的机会将会对其他实质性响应要求的供应商的竞争地位产生不公正的影响。重大偏离的认定需经过磋商小组2/3及以上成员的认定。磋商小组决定响应文件的响应性只根据响应文件本身的内容，而不寻求外部的证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未通过资格审查或符合性审查的供应商，磋商小组将在苏采云系统中告知未通过资格审查或符合性审查的原因，评审结束后，磋商小组将不再告知未通过资格审查或符合性审查的原因。</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5.3被认定为未实质性响应磋商文件的响应文件的情形</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（1）响应文件未按照磋商文件规定要求签署、盖章的；</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（2）授权代表参与政府采购活动，未附法定代表人授权书，或法定代表人授权书不符合规定格式的；</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（3）报价出现前后不一致的，无法按照规定修正或按照规定修正，供应商不确认的；</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（4）磋商供应商资质条件不符合国家有关规定，或者不满足磋商文件规定的资格条件的；</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（5）响应文件报价低于工程成本或者高于磋商文件设定的预算价或者采购人设置的最高限价的；</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（6）同一供应商提交两个及以上不同的响应文件或者最后报价的（在报价时采用选择性报价）；</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（7）响应文件中已标价工程量清单与磋商文件规定的暂估价、暂列金额及甲供材料价格不一致的；</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（8）响应文件中已标价工程量清单与磋商文件明确列出的不可竞争费用项目或费率或计算基础不一致的；</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（9）响应文件的已标价工程量清单与磋商文件提供的工程量清单中的项目编码、项目名称、项目特征、计量单位、工程量不一致的；</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（10）供应商未按照磋商文件要求上传电子响应文件的；</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（11）不同磋商供应商的响应文件以及响应文件制作过程出现了评审委员会认为不应当雷同的情况的；</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（12）以他人的名义参与磋商、串通磋商、以行贿手段谋取成交或者以其他弄虚作假方式参与磋商的；</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（13）响应文件关键内容模糊、无法辨认的；</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（14）不符合磋商文件中规定的实质性要求和条件的；（本磋商文件中标注★的款项为实质性响应要求和条件，如不满足将按无效响应处理）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（15）响应文件含有采购人不能接受的附加条件的；</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（16）</w:t>
      </w:r>
      <w:r>
        <w:rPr>
          <w:rFonts w:ascii="SimSun" w:hAnsi="SimSun" w:eastAsia="SimSun" w:cs="SimSun"/>
          <w:b/>
          <w:color w:val="000000"/>
          <w:sz w:val="21"/>
        </w:rPr>
        <w:t xml:space="preserve">供应商在苏采云系统规定的时间内未成功解密电子响应文件的；</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（17）供应商提交的电子响应文件因其自身原因出现问题导致无法电子评审的。</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5</w:t>
      </w:r>
      <w:r>
        <w:rPr>
          <w:rFonts w:ascii="SimSun" w:hAnsi="SimSun" w:eastAsia="SimSun" w:cs="SimSun"/>
          <w:b/>
          <w:color w:val="000000"/>
          <w:sz w:val="21"/>
        </w:rPr>
        <w:t xml:space="preserve">.4未实质性响应磋商文件的响应文件按无效响应处理。磋商小组应当告知提交响应文件的供应商，供应商不得通过修改或撤销不符合要求的偏离或保留而使其成为实质性响应的文件。</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5.5供应商在项目评审全过程中应保持通信畅通，并安排专人与采购人或采购代理机构及磋商小组联系。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6、磋商程序及评审方法和标准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6.1磋商程序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文件不能详细列明采购标的的技术、服务要求，需经磋商由供应商提供最终解决方案的，磋商结束后，磋商小组将按照少数服从多数的原则投票推荐3家以上供应商的解决方案，在苏采云系统中向其发布“最后报价要求函”及最后报价格式表，要求其在规定时间内提交最后报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6.1.4本项目执行苏财购【2025】62号文《关于推动解决政府采购异常低价问题相关工作的通知》采购人应在采购文件中明确评审委员会启动异常低价投标响应)审查的情形和具体要求，包括:(一)评审过程中出现下列情形之一的，评审委员会应当启动异常低价投标(响应)审查程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1.投标(响应)报价低于采购项目预算50%的，即投标（响应）报价&lt;采购项目预算*50%；</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2.投标(响应)报价低于采购项目最高限价45%的，即投标（响应）报价&lt;采购项目最高限价*45%；</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3.评审委员会认定的供应商报价过低、有可能影响产品质量或者不能诚信履约的其他情形。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6.1.5磋商小组认为供应商的报价明显低于其他通过符合性审查供应商的报价，有可能影响产品质量或者不能诚信履约的，将要求其在合理的时间内提供说明，必要时提交相关证明材料；供应商不能证明其报价合理性的，磋商小组应当将其作为无效响应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6.2评审方法和标准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6.2.1评审方法。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经磋商确定最终采购需求和提交最后磋商报价的供应商后，由磋商小组采用综合评分法对提交最后报价的供应商的响应文件和最后报价进行综合评分。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评审时，磋商小组各成员独立对每个有效响应的文件进行评价、打分，然后汇总每个供应商每项评分因素的得分。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6.2.2评审标准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见本磋商文件第六章“评审方法和评审标准”。</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6.2.3 评审报告</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6.3采购活动终止的情况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出现下列情形之一的，本次竞争性磋商采购活动将被终止：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（1）因情况变化，不再符合规定的竞争性磋商采购方式适用情形的。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（2）出现影响采购公正的违法、违规行为的。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（3）除本磋商文件第二章第6.1.2条第三款规定的情形外，在采购过程中符合要求的供应商或者最后报价未超过采购预算的供应商不足3家的。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（4）在苏采云系统规定时间内成功解密电子响应文件的供应商不足3家的。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七、成交</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1、确定成交单位</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根据采购人的授权，磋商小组直接确定排名第一的成交候选供应商为成交供应商，代理机构将在“江苏政府采购网”发布成交结果公告，公告期限为1个工作日，同时向成交供应商发出成交通知书。成交供应商在领取成交通知书时，需提供一正三副与电子响应文件一致的纸质打印文件。</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1.4成交通知书将是合同的一个组成部分。对采购人和成交供应商均具有法律效力。成交通知书发出后，采购人改变成交结果的，或者成交供应商放弃成交项目的，应当依法承担法律责任。</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2、成交供应商有下列情形之一的，将取消其成交资格：</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（1）提供虚假材料谋取成交的；</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（2）与评审专家、采购人、其他供应商或者代理机构工作人员恶意串通的；</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（3）向评审专家、采购人或代理机构工作人员行贿或者提供其他不正当利益的；</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（4）不满足本磋商文件规定的实质性要求，但在评审过程中又未被磋商小组发现的；</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（5）成交后无正当理由拒不与采购人签订采购合同或者未按照磋商文件确定的事项签订采购合同的；</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（6）将采购合同转包的；</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（7）法律、法规、规章规定的属于成交无效的其他情形。</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八、合同签订相关事项</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1、签订合同</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1.l 采购人与成交供应商应当在成交通知书发出之日起30日内，按照磋商文件确定的合同文本以及采购标的、技术和服务要求等事项签订采购合同。</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磋商文件、成交供应商的响应文件及磋商采购过程中有关澄清、承诺文件均应作为合同附件。</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签订合同后，成交供应商不得将成交产品或服务进行转包。未经采购人同意，成交供应商也不得采用分包的形式履行合同，否则采购人有权终止合同，转包或分包造成采购人损失的，成交供应商应承担相应赔偿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1.4采购人自采购合同签订之日起2个工作日内（以合同的签订日期计算），将政府采购合同在指定的媒体上公告。</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b/>
          <w:color w:val="000000"/>
          <w:sz w:val="21"/>
        </w:rPr>
        <w:t xml:space="preserve">履约保证金</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履约保证金缴纳方式：中标供应商须向采购人交纳履约保证金，履约保证金必须在签订合同的同时以支票、汇票、本票、保函（包括金融机构、担保机构出具的保函、保险等）等非现金形式提交至采购单位。</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履约保证金的金额：签约合同价的10%。</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 履约保证金的退还：除按本合同专用条款约定从履约保证金中扣除的相应费用（罚款）外，剩余履约保证金于采购人签发交工验收证书且成交供应商按照合同约定缴纳质量保证金后28日内退还。采用履约担保（银行保函）形式的，成交供应商按合同专用条款约定缴纳相应费用（罚款）后28日内履行保函退还手续。</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不予退还的情形：成交供应商不履行合同，履约保证金不予返还。成交供应商违约的，采购人将按照合同约定扣除其全部或部分履约保证金。如成交供应商违约给采购人造成的损失超过履约保证金的，应当依法赔偿超过部分的损失。</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 逾期退还履约保证金的违约责任：除不可抗力外，采购人逾期退还履约保证金的，除应当退还履约保证金本金外，还应按商业银行同期贷款利率上浮10%后的利率支付资金占用费。</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 政府采购履约资金扶持政策</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成交供应商可凭政府采购合同办理融资贷款，详情请见江苏政府采购网“政采贷”专栏。</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九、政策功能</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1.本项目执行财政部、工业和信息化部关于印发《政府采购促进中小企业发展管理办法》的通知（财库〔2020〕46号）、《关于印发中小企业划型标准规定的通知》（工信部联企业〔2011〕300号）、《财政部 司法部关于政府采购支持监狱企业发展有关问题的通知》（财库〔2014〕68号）、《关于促进残疾人就业政府采购政策的通知》（财库〔2017〕141号）的规定。</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根据财政部、工业和信息化部关于印发《政府采购促进中小企业发展管理办法》的通知（财库〔2020〕46号），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中小企业参加政府采购活动，应当出具本办法规定的《中小企业声明函》，否则不得享受相关中小企业扶持政策。</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3.供应商为残疾人福利性单位且提供的货物全部由残疾人福利性单位制造的，符合财库 〔2017〕141 号文件规定条件的残疾人福利性单位视同小型、微型企业，提供《残疾人福利性单位声明函》。</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4.供应商为监狱企业或提供的货物由监狱企业制造的，提供省级以上监狱管理局、戒毒管理局（含新疆生产建设兵团）出具的属于监狱企业的证明文件。</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财政部司法部关于政府采购支持监狱企业发展有关问题的通知》（财库〔2014〕68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w:t>
      </w:r>
      <w:r>
        <w:rPr>
          <w:rFonts w:ascii="SimSun" w:hAnsi="SimSun" w:eastAsia="SimSun" w:cs="SimSun"/>
          <w:color w:val="000000"/>
          <w:sz w:val="21"/>
        </w:rPr>
        <w:t xml:space="preserve">明文件。</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5.在政府采购活动中，供应商提供的货物、工程或者服务符合下列情形的，享受本办法规定的中小企业扶持政策： </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（一）在货物采购项目中，货物由中小企业制造，即货物由中小企业生产且使用该中小企业商号或者注册商标；</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（二）在工程采购项目中，工程由中小企业承建，即工程施工单位为中小企业；</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（三）在服务采购项目中，服务由中小企业承接，即提供服务的人员为中小企业依照《中华人民共和国民法典》订立劳动合同的从业人员。</w:t>
      </w:r>
      <w:r/>
    </w:p>
    <w:p>
      <w:pPr>
        <w:ind w:left="0" w:right="0" w:firstLine="63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在货物采购项目中，供应商提供的货物既有中小企业制造货物，也有大型企业制造货物的，不享受本办法规定的中小企业扶持政策。</w:t>
      </w:r>
      <w:r/>
    </w:p>
    <w:p>
      <w:pPr>
        <w:ind w:left="0" w:right="0" w:firstLine="63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以联合体形式参加政府采购活动，联合体各方均为中小企业的，联合体视同中小企业。其中，联合体各方均为小微企业的，联合体视同小微企业。</w:t>
      </w:r>
      <w:r/>
    </w:p>
    <w:p>
      <w:pPr>
        <w:ind w:left="0" w:right="0" w:firstLine="422"/>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《中小企业声明函》等相关资料应上传至电子响应文件中，否则不予认可。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以上规定未尽事项，按《政府采购促进中小企业发展管理办法》等有关制度规定执行。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7.支持绿色发展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本项目执行《关于印发环境标志产品政府采购品目清单的通知》（财库〔2019〕18 号）、《关于印发节能产品政府采购品目清单的通知》（财库〔2019〕19 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w:t>
      </w:r>
      <w:r>
        <w:rPr>
          <w:rFonts w:ascii="SimSun" w:hAnsi="SimSun" w:eastAsia="SimSun" w:cs="SimSun"/>
          <w:b/>
          <w:color w:val="000000"/>
          <w:sz w:val="21"/>
        </w:rPr>
        <w:t xml:space="preserve">供应商须按磋商文件要求提供相关产品认证证书。</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助力打好污染防治攻坚战，严格执行绿色采购需求标准。推广使用绿色包装，政府采购货物、工程和服务项目中涉及商品包装、快递包装、绿色数据中心的，供应商提供的产品及相关快递服务的具体包装等要求要参考《商品包装政府采购需求标准（试行）》、《快递包装政府采购需求标准（试行）》、《绿色数据中心政府采购需求标准（试行）》。</w:t>
      </w:r>
      <w:r/>
    </w:p>
    <w:p>
      <w:pPr>
        <w:ind w:left="0" w:right="0" w:firstLine="482"/>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落实挥发性有机化合物（VOCs）治理要求，政府采购项目中涉及涂料、胶黏剂、油墨、清洗剂等挥发性有机物产品的，属于强制性标准的，供应商须执行国家和我省 VOCs含量限制标准；供应商优先使用低挥发性原辅材料，将使用低 VOCs 含量的涂料、胶黏剂等纳入政府采购合同条款。</w:t>
      </w:r>
      <w:r/>
    </w:p>
    <w:p>
      <w:pPr>
        <w:ind w:left="0" w:right="0" w:firstLine="482"/>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十、质疑和投诉</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1、质疑的提出</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1.1提出质疑的供应商应当是参与所质疑项目采购活动的供应商。</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供应商认为磋商文件、采购过程、成交结果使自己的权益受到损害的，可以在知道或者应知其权益受到损害之日（获取磋商文件之日、成交公告发布之日）起七个工作日内以书面形式向采购人、代理机构提出质疑。供应商应当在法定质疑期内一次性提出针对同一采购程序环节的质疑。</w:t>
      </w:r>
      <w:r>
        <w:rPr>
          <w:rFonts w:ascii="SimSun" w:hAnsi="SimSun" w:eastAsia="SimSun" w:cs="SimSun"/>
          <w:b/>
          <w:color w:val="000000"/>
          <w:sz w:val="21"/>
        </w:rPr>
        <w:t xml:space="preserve">未依照采购磋商邀请要求获取磋商文件的供应商，视为未参与该项目的采购活动，不具备对该磋商文件提出质疑的法定权利。</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rPr>
          <w:rFonts w:ascii="SimSun" w:hAnsi="SimSun" w:eastAsia="SimSun" w:cs="SimSun"/>
          <w:b/>
          <w:color w:val="000000"/>
          <w:sz w:val="21"/>
        </w:rPr>
        <w:t xml:space="preserve">质疑函的接收方式为供应商书面原件提交。</w:t>
      </w:r>
      <w:r>
        <w:rPr>
          <w:rFonts w:ascii="SimSun" w:hAnsi="SimSun" w:eastAsia="SimSun" w:cs="SimSun"/>
          <w:color w:val="000000"/>
          <w:sz w:val="21"/>
        </w:rPr>
        <w:t xml:space="preserve">联系部门、联系电话和通讯地址详见本磋商文件“磋商邀请”。质疑实行实名制，不得进行虚假、恶意质疑。</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1.4质疑函应当使用范本格式（详见附件）。供应商提出质疑应当</w:t>
      </w:r>
      <w:r>
        <w:rPr>
          <w:rFonts w:ascii="SimSun" w:hAnsi="SimSun" w:eastAsia="SimSun" w:cs="SimSun"/>
          <w:b/>
          <w:color w:val="000000"/>
          <w:sz w:val="21"/>
        </w:rPr>
        <w:t xml:space="preserve">提交质疑函和必要的证明材料</w:t>
      </w:r>
      <w:r>
        <w:rPr>
          <w:rFonts w:ascii="SimSun" w:hAnsi="SimSun" w:eastAsia="SimSun" w:cs="SimSun"/>
          <w:color w:val="000000"/>
          <w:sz w:val="21"/>
        </w:rPr>
        <w:t xml:space="preserve">。应当包括下列内容：</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（1）供应商的姓名或者名称、地址、邮编、联系人及联系电话；</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（2）质疑项目的名称、编号；</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（3）具体、明确的质疑事项和与质疑事项相关的请求；</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（4）事实依据；</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（5）必要的法律依据；</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（6）提出质疑的日期；</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（7）必要的证明材料；</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（8）营业执照复印件及法定代表人授权委托书、法定代表人身份证复印件、委托代理人身份证复印件。</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供应商为自然人的，应当由本人签字；供应商为法人或者其他组织的，应当由法定代表人、主要负责人，或者其委托代理人签字或者盖章，并加盖单位公章。</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2、质疑函的受理和答复</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2.1质疑供应商应当保证其提出的质疑事项及必要的证明材料的真实性及来源的合法性，并承担相应的法律责任。</w:t>
      </w:r>
      <w:r>
        <w:rPr>
          <w:rFonts w:ascii="SimSun" w:hAnsi="SimSun" w:eastAsia="SimSun" w:cs="SimSun"/>
          <w:b/>
          <w:color w:val="000000"/>
          <w:sz w:val="21"/>
        </w:rPr>
        <w:t xml:space="preserve">对不能提供必要的证明材料的、涉及商业秘密的、非书面原件形式的、匿名的质疑函将不予受理</w:t>
      </w:r>
      <w:r>
        <w:rPr>
          <w:rFonts w:ascii="SimSun" w:hAnsi="SimSun" w:eastAsia="SimSun" w:cs="SimSun"/>
          <w:color w:val="000000"/>
          <w:sz w:val="21"/>
        </w:rPr>
        <w:t xml:space="preserve">。必要的证明材料要具备客观性、关联性、合法性，无法查实的（如宣传册、媒体报道、猜测、推理等）不能作为证明材料。采购人、代理机构不负责搜集必要的证明材料等工作。</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2.2在处理过程中，发现需要质疑供应商进一步补充必要的证明材料的，质疑供应商应在法定的时间内提供，质疑答复时间相应顺延。质疑供应商不能按时提供必要的证明材料的，视同放弃质疑。</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2.3对不符合质疑要求的，采购人、代理机构有权要求其补充必要的证明材料，质疑供应商未在法定的时间内提供补充必要的证明材料的，视同放弃质疑。</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采购人、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3、质疑处理</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3.1质疑供应商不按照法定程序进行质疑投诉的，视为一般失信行为。</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3.2质疑供应商不配合或者采用不正当手段干扰采购质疑、投诉处理工作的，视为一般失信行为。</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3.3质疑供应商投诉受理期间，就同一事项多头举报，干扰财政部门投诉处理的，视为一般失信行为。</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3.4质疑供应商在全国范围12个月内三次以上质疑查无实据的，视为一般失信行为。</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3.6未尽事宜，依照有关法律、法规执行。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4、投诉</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投诉事项依照有关法律、法规执行。</w:t>
      </w:r>
      <w:r/>
    </w:p>
    <w:p>
      <w:pPr>
        <w:ind w:left="0" w:right="0" w:firstLine="480"/>
        <w:jc w:val="center"/>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8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第三章 合同条款及格式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以下为成交后</w:t>
      </w:r>
      <w:r>
        <w:rPr>
          <w:rFonts w:ascii="SimSun" w:hAnsi="SimSun" w:eastAsia="SimSun" w:cs="SimSun"/>
          <w:color w:val="000000"/>
          <w:sz w:val="24"/>
        </w:rPr>
        <w:t xml:space="preserve">签订本项目合同的通用条款，成交供应商不得提出实质性的修改</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连 云 港 市 政 府 采 购</w:t>
      </w:r>
      <w:r/>
    </w:p>
    <w:p>
      <w:pPr>
        <w:ind w:left="0" w:right="0" w:firstLine="420"/>
        <w:jc w:val="center"/>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8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u w:val="single"/>
        </w:rPr>
        <w:t xml:space="preserve">                    </w:t>
      </w:r>
      <w:r>
        <w:rPr>
          <w:rFonts w:ascii="SimSun" w:hAnsi="SimSun" w:eastAsia="SimSun" w:cs="SimSun"/>
          <w:color w:val="000000"/>
          <w:sz w:val="32"/>
        </w:rPr>
        <w:t xml:space="preserve">合同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058"/>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8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8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8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8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175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175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175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175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1752"/>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采购人（发包人）：</w:t>
      </w:r>
      <w:r/>
    </w:p>
    <w:p>
      <w:pPr>
        <w:ind w:left="0" w:right="0" w:firstLine="1752"/>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成交供应商（承包人）：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第一部分 合同协议书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发包人（甲方）：</w:t>
      </w:r>
      <w:r>
        <w:rPr>
          <w:rFonts w:ascii="SimSun" w:hAnsi="SimSun" w:eastAsia="SimSun" w:cs="SimSun"/>
          <w:color w:val="000000"/>
          <w:sz w:val="21"/>
          <w:u w:val="single"/>
        </w:rPr>
        <w:t xml:space="preserve">赣榆区青口镇人民政府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承包人（乙方）：</w:t>
      </w:r>
      <w:r>
        <w:rPr>
          <w:rFonts w:ascii="SimSun" w:hAnsi="SimSun" w:eastAsia="SimSun" w:cs="SimSun"/>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根据《中华人民共和国民法典》、《中华人民共和国建筑法》及有关法律规定，遵循平等、自愿、公平和诚实信用的原则，双方就</w:t>
      </w:r>
      <w:r>
        <w:rPr>
          <w:rFonts w:ascii="SimSun" w:hAnsi="SimSun" w:eastAsia="SimSun" w:cs="SimSun"/>
          <w:color w:val="000000"/>
          <w:sz w:val="21"/>
          <w:u w:val="single"/>
        </w:rPr>
        <w:t xml:space="preserve"> 青口十八勇士纪念馆改陈布展工程（政府采购工程）</w:t>
      </w:r>
      <w:r>
        <w:rPr>
          <w:rFonts w:ascii="SimSun" w:hAnsi="SimSun" w:eastAsia="SimSun" w:cs="SimSun"/>
          <w:color w:val="000000"/>
          <w:sz w:val="21"/>
        </w:rPr>
        <w:t xml:space="preserve">及有关事项协商一致，共同达成如下协议：</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一、工程概况</w:t>
      </w:r>
      <w:r/>
    </w:p>
    <w:p>
      <w:pPr>
        <w:ind w:left="1680" w:right="0" w:hanging="12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1、工程名称：</w:t>
      </w:r>
      <w:r>
        <w:rPr>
          <w:rFonts w:ascii="SimSun" w:hAnsi="SimSun" w:eastAsia="SimSun" w:cs="SimSun"/>
          <w:color w:val="000000"/>
          <w:sz w:val="21"/>
          <w:u w:val="single"/>
        </w:rPr>
        <w:t xml:space="preserve">青口十八勇士纪念馆改陈布展工程（政府采购工程）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2、工程地点：连云港市赣榆区青口镇前宫路</w:t>
      </w:r>
      <w:r>
        <w:rPr>
          <w:rFonts w:ascii="SimSun" w:hAnsi="SimSun" w:eastAsia="SimSun" w:cs="SimSun"/>
          <w:b/>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3、工程立项批准文号：</w:t>
      </w:r>
      <w:r>
        <w:rPr>
          <w:rFonts w:ascii="SimSun" w:hAnsi="SimSun" w:eastAsia="SimSun" w:cs="SimSun"/>
          <w:b/>
          <w:color w:val="000000"/>
          <w:sz w:val="21"/>
          <w:u w:val="single"/>
        </w:rPr>
        <w:t xml:space="preserve"> /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4、资金来源：</w:t>
      </w:r>
      <w:r>
        <w:rPr>
          <w:rFonts w:ascii="SimSun" w:hAnsi="SimSun" w:eastAsia="SimSun" w:cs="SimSun"/>
          <w:b/>
          <w:color w:val="000000"/>
          <w:sz w:val="21"/>
          <w:u w:val="single"/>
        </w:rPr>
        <w:t xml:space="preserve"> 财政资金，已落实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5、工程内容：</w:t>
      </w:r>
      <w:r>
        <w:rPr>
          <w:rFonts w:ascii="SimSun" w:hAnsi="SimSun" w:eastAsia="SimSun" w:cs="SimSun"/>
          <w:b/>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6、工程承包范围：</w:t>
      </w:r>
      <w:r>
        <w:rPr>
          <w:rFonts w:ascii="SimSun" w:hAnsi="SimSun" w:eastAsia="SimSun" w:cs="SimSun"/>
          <w:color w:val="000000"/>
          <w:sz w:val="21"/>
          <w:u w:val="single"/>
        </w:rPr>
        <w:t xml:space="preserve">                      </w:t>
      </w:r>
      <w:r>
        <w:rPr>
          <w:rFonts w:ascii="SimSun" w:hAnsi="SimSun" w:eastAsia="SimSun" w:cs="SimSun"/>
          <w:b/>
          <w:color w:val="000000"/>
          <w:sz w:val="21"/>
        </w:rPr>
        <w:t xml:space="preserve">。</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二、合同工期：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开工日期：</w:t>
      </w:r>
      <w:r>
        <w:rPr>
          <w:rFonts w:ascii="SimSun" w:hAnsi="SimSun" w:eastAsia="SimSun" w:cs="SimSun"/>
          <w:color w:val="000000"/>
          <w:sz w:val="21"/>
          <w:u w:val="single"/>
        </w:rPr>
        <w:t xml:space="preserve">2025</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竣工日期：</w:t>
      </w:r>
      <w:r>
        <w:rPr>
          <w:rFonts w:ascii="SimSun" w:hAnsi="SimSun" w:eastAsia="SimSun" w:cs="SimSun"/>
          <w:color w:val="000000"/>
          <w:sz w:val="21"/>
          <w:u w:val="single"/>
        </w:rPr>
        <w:t xml:space="preserve">2025</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工期总日历天数：</w:t>
      </w:r>
      <w:r>
        <w:rPr>
          <w:rFonts w:ascii="SimSun" w:hAnsi="SimSun" w:eastAsia="SimSun" w:cs="SimSun"/>
          <w:b/>
          <w:color w:val="000000"/>
          <w:sz w:val="21"/>
          <w:u w:val="single"/>
        </w:rPr>
        <w:t xml:space="preserve">       </w:t>
      </w:r>
      <w:r>
        <w:rPr>
          <w:rFonts w:ascii="SimSun" w:hAnsi="SimSun" w:eastAsia="SimSun" w:cs="SimSun"/>
          <w:color w:val="000000"/>
          <w:sz w:val="21"/>
        </w:rPr>
        <w:t xml:space="preserve">日历天。工期总日历天数与根据前述计划开竣工日期计算的工期天数不一致的，以工期总日历天数为准。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三、质量标准</w:t>
        <w:tab/>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工程质量符合：</w:t>
      </w:r>
      <w:r>
        <w:rPr>
          <w:rFonts w:ascii="SimSun" w:hAnsi="SimSun" w:eastAsia="SimSun" w:cs="SimSun"/>
          <w:b/>
          <w:color w:val="000000"/>
          <w:sz w:val="21"/>
          <w:u w:val="single"/>
        </w:rPr>
        <w:t xml:space="preserve">执行国家现行验收标准，等级为合格</w:t>
      </w:r>
      <w:r>
        <w:rPr>
          <w:rFonts w:ascii="SimSun" w:hAnsi="SimSun" w:eastAsia="SimSun" w:cs="SimSun"/>
          <w:color w:val="000000"/>
          <w:sz w:val="21"/>
        </w:rPr>
        <w:t xml:space="preserve">。</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四、签约合同价与合同价格形式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1、签约合同价：金额（人民币）：大写（人民币）</w:t>
      </w:r>
      <w:r>
        <w:rPr>
          <w:rFonts w:ascii="SimSun" w:hAnsi="SimSun" w:eastAsia="SimSun" w:cs="SimSun"/>
          <w:color w:val="000000"/>
          <w:sz w:val="21"/>
          <w:u w:val="single"/>
        </w:rPr>
        <w:t xml:space="preserve">                 </w:t>
      </w:r>
      <w:r>
        <w:rPr>
          <w:rFonts w:ascii="SimSun" w:hAnsi="SimSun" w:eastAsia="SimSun" w:cs="SimSun"/>
          <w:color w:val="000000"/>
          <w:sz w:val="21"/>
        </w:rPr>
        <w:t xml:space="preserve">）。小写¥</w:t>
      </w:r>
      <w:r>
        <w:rPr>
          <w:rFonts w:ascii="SimSun" w:hAnsi="SimSun" w:eastAsia="SimSun" w:cs="SimSun"/>
          <w:color w:val="000000"/>
          <w:sz w:val="21"/>
          <w:u w:val="single"/>
        </w:rPr>
        <w:t xml:space="preserve">                     </w:t>
      </w:r>
      <w:r>
        <w:rPr>
          <w:rFonts w:ascii="SimSun" w:hAnsi="SimSun" w:eastAsia="SimSun" w:cs="SimSun"/>
          <w:color w:val="000000"/>
          <w:sz w:val="21"/>
        </w:rPr>
        <w:t xml:space="preserve">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⑴安全文明施工费：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人民币（大写）</w:t>
      </w:r>
      <w:r>
        <w:rPr>
          <w:rFonts w:ascii="SimSun" w:hAnsi="SimSun" w:eastAsia="SimSun" w:cs="SimSun"/>
          <w:color w:val="000000"/>
          <w:sz w:val="21"/>
          <w:u w:val="single"/>
        </w:rPr>
        <w:t xml:space="preserve">      </w:t>
      </w:r>
      <w:r>
        <w:rPr>
          <w:rFonts w:ascii="SimSun" w:hAnsi="SimSun" w:eastAsia="SimSun" w:cs="SimSun"/>
          <w:color w:val="000000"/>
          <w:sz w:val="21"/>
        </w:rPr>
        <w:t xml:space="preserve">(¥</w:t>
      </w:r>
      <w:r>
        <w:rPr>
          <w:rFonts w:ascii="SimSun" w:hAnsi="SimSun" w:eastAsia="SimSun" w:cs="SimSun"/>
          <w:color w:val="000000"/>
          <w:sz w:val="21"/>
          <w:u w:val="single"/>
        </w:rPr>
        <w:t xml:space="preserve">      </w:t>
      </w:r>
      <w:r>
        <w:rPr>
          <w:rFonts w:ascii="SimSun" w:hAnsi="SimSun" w:eastAsia="SimSun" w:cs="SimSun"/>
          <w:color w:val="000000"/>
          <w:sz w:val="21"/>
        </w:rPr>
        <w:t xml:space="preserve">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⑵材料和工程设备暂估价金额：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人民币（大写）</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rPr>
          <w:rFonts w:ascii="SimSun" w:hAnsi="SimSun" w:eastAsia="SimSun" w:cs="SimSun"/>
          <w:color w:val="000000"/>
          <w:sz w:val="21"/>
          <w:u w:val="single"/>
        </w:rPr>
        <w:t xml:space="preserve">   /   </w:t>
      </w:r>
      <w:r>
        <w:rPr>
          <w:rFonts w:ascii="SimSun" w:hAnsi="SimSun" w:eastAsia="SimSun" w:cs="SimSun"/>
          <w:color w:val="000000"/>
          <w:sz w:val="21"/>
        </w:rPr>
        <w:t xml:space="preserve">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⑶专业工程暂估价金额：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人民币（大写）</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rPr>
          <w:rFonts w:ascii="SimSun" w:hAnsi="SimSun" w:eastAsia="SimSun" w:cs="SimSun"/>
          <w:color w:val="000000"/>
          <w:sz w:val="21"/>
          <w:u w:val="single"/>
        </w:rPr>
        <w:t xml:space="preserve">   /   </w:t>
      </w:r>
      <w:r>
        <w:rPr>
          <w:rFonts w:ascii="SimSun" w:hAnsi="SimSun" w:eastAsia="SimSun" w:cs="SimSun"/>
          <w:color w:val="000000"/>
          <w:sz w:val="21"/>
        </w:rPr>
        <w:t xml:space="preserve">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⑷暂列金额：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人民币（大写）</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rPr>
          <w:rFonts w:ascii="SimSun" w:hAnsi="SimSun" w:eastAsia="SimSun" w:cs="SimSun"/>
          <w:color w:val="000000"/>
          <w:sz w:val="21"/>
          <w:u w:val="single"/>
        </w:rPr>
        <w:t xml:space="preserve">   /   </w:t>
      </w:r>
      <w:r>
        <w:rPr>
          <w:rFonts w:ascii="SimSun" w:hAnsi="SimSun" w:eastAsia="SimSun" w:cs="SimSun"/>
          <w:color w:val="000000"/>
          <w:sz w:val="21"/>
        </w:rPr>
        <w:t xml:space="preserve">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2、合同价格形式：</w:t>
      </w:r>
      <w:r>
        <w:rPr>
          <w:rFonts w:ascii="SimSun" w:hAnsi="SimSun" w:eastAsia="SimSun" w:cs="SimSun"/>
          <w:color w:val="000000"/>
          <w:sz w:val="21"/>
          <w:u w:val="single"/>
        </w:rPr>
        <w:t xml:space="preserve"> </w:t>
      </w:r>
      <w:r>
        <w:rPr>
          <w:rFonts w:ascii="SimSun" w:hAnsi="SimSun" w:eastAsia="SimSun" w:cs="SimSun"/>
          <w:b/>
          <w:color w:val="000000"/>
          <w:sz w:val="21"/>
          <w:u w:val="single"/>
        </w:rPr>
        <w:t xml:space="preserve">固定单价合同</w:t>
      </w:r>
      <w:r>
        <w:rPr>
          <w:rFonts w:ascii="SimSun" w:hAnsi="SimSun" w:eastAsia="SimSun" w:cs="SimSun"/>
          <w:color w:val="000000"/>
          <w:sz w:val="21"/>
        </w:rPr>
        <w:t xml:space="preserve">。</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五、项目经理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承包人项目经理姓名：</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六、合同文件构成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本协议书与下列文件一起构成合同文件：</w:t>
      </w:r>
      <w:r/>
    </w:p>
    <w:p>
      <w:pPr>
        <w:ind w:left="48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⑴中标通知书（如果有）；</w:t>
      </w:r>
      <w:r/>
    </w:p>
    <w:p>
      <w:pPr>
        <w:ind w:left="48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⑵投标函；</w:t>
      </w:r>
      <w:r/>
    </w:p>
    <w:p>
      <w:pPr>
        <w:ind w:left="48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⑶招标文件；</w:t>
      </w:r>
      <w:r/>
    </w:p>
    <w:p>
      <w:pPr>
        <w:ind w:left="48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⑷专用合同条款及其附件；</w:t>
      </w:r>
      <w:r/>
    </w:p>
    <w:p>
      <w:pPr>
        <w:ind w:left="48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⑸通用合同条款；</w:t>
      </w:r>
      <w:r/>
    </w:p>
    <w:p>
      <w:pPr>
        <w:ind w:left="48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⑹技术标准和要求；</w:t>
      </w:r>
      <w:r/>
    </w:p>
    <w:p>
      <w:pPr>
        <w:ind w:left="48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⑺图纸；</w:t>
      </w:r>
      <w:r/>
    </w:p>
    <w:p>
      <w:pPr>
        <w:ind w:left="48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⑻已标价工程量清单或预算书；</w:t>
      </w:r>
      <w:r/>
    </w:p>
    <w:p>
      <w:pPr>
        <w:ind w:left="48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⑼其他合同文件。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在合同订立及履行过程中形成的与合同有关的文件均构成合同文件组成部分。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上述各项合同文件包括合同当事人就该项合同文件所作出的补充和修改，属于同一类内容的文件，应以最新签署的为准。专用合同条款及其附件须经合同当事人签字或盖章。</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七、承诺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1、发包人承诺按照法律规定履行项目审批手续。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承包人承诺按照法律规定及合同约定组织完成工程施工，确保工程质量和安全，不进行挂靠转包及违法分包等行为，经发包人要求仍未整改到位的，发包人有权解除协议并清除出场，并要求承包人赔付发包人签约合同价的30%的违约金；合同已经履行完毕的，发包人有权按照工程审定价款直接扣除30%违约金，剩余工程款不足以支付的，承包人有义务补足。并在缺陷责任期及保修期内承担相应的工程维修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3、发包人和承包人通过招投标形式签订合同的，双方理解并承诺不再就同一工程另行签订与合同实质性内容相背离的协议。</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八、词语含义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本协议书中词语含义与第二部分通用合同条款中赋予的含义相同。</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九、签订时间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本合同于</w:t>
      </w:r>
      <w:r>
        <w:rPr>
          <w:rFonts w:ascii="SimSun" w:hAnsi="SimSun" w:eastAsia="SimSun" w:cs="SimSun"/>
          <w:color w:val="000000"/>
          <w:sz w:val="21"/>
          <w:u w:val="single"/>
        </w:rPr>
        <w:t xml:space="preserve"> 2025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日签订。</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十、签订地点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本合同在</w:t>
      </w:r>
      <w:r>
        <w:rPr>
          <w:rFonts w:ascii="SimSun" w:hAnsi="SimSun" w:eastAsia="SimSun" w:cs="SimSun"/>
          <w:color w:val="000000"/>
          <w:sz w:val="21"/>
          <w:u w:val="single"/>
        </w:rPr>
        <w:t xml:space="preserve"> 赣榆区青口镇人民政府 </w:t>
      </w:r>
      <w:r>
        <w:rPr>
          <w:rFonts w:ascii="SimSun" w:hAnsi="SimSun" w:eastAsia="SimSun" w:cs="SimSun"/>
          <w:color w:val="000000"/>
          <w:sz w:val="21"/>
        </w:rPr>
        <w:t xml:space="preserve">签订。</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十一、补充协议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合同未尽事宜，合同当事人另行签订补充协议，补充协议是合同的组成部分。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十二、合同生效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本合同自</w:t>
      </w:r>
      <w:r>
        <w:rPr>
          <w:rFonts w:ascii="SimSun" w:hAnsi="SimSun" w:eastAsia="SimSun" w:cs="SimSun"/>
          <w:color w:val="000000"/>
          <w:sz w:val="21"/>
          <w:u w:val="single"/>
        </w:rPr>
        <w:t xml:space="preserve"> 双方签字盖章后</w:t>
      </w:r>
      <w:r>
        <w:rPr>
          <w:rFonts w:ascii="SimSun" w:hAnsi="SimSun" w:eastAsia="SimSun" w:cs="SimSun"/>
          <w:color w:val="000000"/>
          <w:sz w:val="21"/>
        </w:rPr>
        <w:t xml:space="preserve">生效。</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十三、合同份数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合同订立份数：</w:t>
      </w:r>
      <w:r>
        <w:rPr>
          <w:rFonts w:ascii="SimSun" w:hAnsi="SimSun" w:eastAsia="SimSun" w:cs="SimSun"/>
          <w:color w:val="000000"/>
          <w:sz w:val="21"/>
          <w:u w:val="single"/>
        </w:rPr>
        <w:t xml:space="preserve">本合同一式玖份，正本贰份，双方各执壹份；副本陆份，发包人执叁份，承包人执贰份，招标代理单位壹份</w:t>
      </w:r>
      <w:r>
        <w:rPr>
          <w:rFonts w:ascii="SimSun" w:hAnsi="SimSun" w:eastAsia="SimSun" w:cs="SimSun"/>
          <w:color w:val="000000"/>
          <w:sz w:val="21"/>
        </w:rPr>
        <w:t xml:space="preserve">。</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发包人：（公章）</w:t>
        <w:tab/>
        <w:t xml:space="preserve">                      承包人：（公章）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法定代表人（签字）：法定代表人（签字）：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委托代理人（签字）：委托代理人（签字）：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组织机构代码：组织机构代码：</w:t>
      </w:r>
      <w:r/>
    </w:p>
    <w:p>
      <w:pPr>
        <w:ind w:left="4620" w:right="0" w:hanging="4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地址：地址：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邮政编码：邮政编码：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法定代表人：法定代表人：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委托代表人：委托代表人：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电话：电话：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传真：传真：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电子信箱：电子信箱：</w:t>
      </w:r>
      <w:r>
        <w:rPr>
          <w:rFonts w:ascii="SimSun" w:hAnsi="SimSun" w:eastAsia="SimSun" w:cs="SimSun"/>
          <w:color w:val="000000"/>
          <w:sz w:val="21"/>
          <w:highlight w:val="white"/>
        </w:rPr>
        <w:t xml:space="preserve"> </w:t>
      </w: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开户银行：开户银行：</w:t>
      </w:r>
      <w:r>
        <w:rPr>
          <w:rFonts w:ascii="SimSun" w:hAnsi="SimSun" w:eastAsia="SimSun" w:cs="SimSun"/>
          <w:color w:val="000000"/>
          <w:sz w:val="21"/>
          <w:highlight w:val="white"/>
        </w:rPr>
        <w:t xml:space="preserve"> </w:t>
      </w: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账号：账号：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第二部分 通用合同条款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通用合同条款执行《建设工程施工合同（示范文本）》（GF-2017-0201）</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2891"/>
        <w:jc w:val="both"/>
        <w:spacing w:before="0" w:after="0"/>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第三部分 专用合同条款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1.一般约定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1.1词语定义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1.1.1.1 合同：合同协议书、中标通知书（如果有）、投标函、专用合同条款及其附件、通用合同条款、技术标准和要求、图纸、已标价工程量清单或预算书以及其他合同文件。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1.1.1.2其他合同文件包括：</w:t>
      </w:r>
      <w:r>
        <w:rPr>
          <w:rFonts w:ascii="SimSun" w:hAnsi="SimSun" w:eastAsia="SimSun" w:cs="SimSun"/>
          <w:color w:val="000000"/>
          <w:sz w:val="21"/>
          <w:u w:val="single"/>
        </w:rPr>
        <w:t xml:space="preserve">（1）招标文件（含澄清、答疑等补充文件）；（2）标准、规范及有关技术资料；（3）发包人、承包人有关工程的洽商、变更等书面协议或文件视为本合同的组成部分。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1.1.2合同当事人及其他相关方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1.1.2.1监理人：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资质类别和等级：</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1.1.2.2设计人：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资质类别和等级：</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1.1.3工程和设备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1.1.3.1作为施工现场组成部分的其他场所包括：</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1.1.3.2永久占地包括：</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1.1.3.3临时占地包括：</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1.3法律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适用于合同的其他规范性文件：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除中华人民共和国法律、行政法规、部门规章，以及工程所在地的地方性法规、自治条例、单行条例和地方政府规章外，相关行业规范也包含在内</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1.4标准和规范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1.4.1适用于工程的标准规范包括：</w:t>
      </w:r>
      <w:r>
        <w:rPr>
          <w:rFonts w:ascii="SimSun" w:hAnsi="SimSun" w:eastAsia="SimSun" w:cs="SimSun"/>
          <w:color w:val="000000"/>
          <w:sz w:val="21"/>
          <w:u w:val="single"/>
        </w:rPr>
        <w:t xml:space="preserve">依据现行的中华人民共和国建设部颁发的有关标准、规范及省市有关规定。上述标准、规范中有不一致的，以标准较高者为准</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1.4.2发包人提供国外标准、规范的名称：</w:t>
      </w:r>
      <w:r>
        <w:rPr>
          <w:rFonts w:ascii="SimSun" w:hAnsi="SimSun" w:eastAsia="SimSun" w:cs="SimSun"/>
          <w:color w:val="000000"/>
          <w:sz w:val="21"/>
          <w:u w:val="single"/>
        </w:rPr>
        <w:t xml:space="preserve">不提供</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发包人提供国外标准、规范的份数：</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发包人提供国外标准、规范的名称：</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1.4.3发包人对工程的技术标准和功能要求的特殊要求：</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1.5合同文件的优先顺序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合同文件组成及优先顺序为：执行通用条款。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上述各项合同文件包括合同当事人就该项合同文件所作出的补充和修改，属于同一类内容的文件，应以最新签署的为准。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在合同订立及履行过程中形成的与合同有关的文件均构成合同文件组成部分，并根据其性质确定优先解释顺序。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1.6图纸和承包人文件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1.6.1图纸的提供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发包人向承包人提供图纸的期限：</w:t>
      </w:r>
      <w:r>
        <w:rPr>
          <w:rFonts w:ascii="SimSun" w:hAnsi="SimSun" w:eastAsia="SimSun" w:cs="SimSun"/>
          <w:color w:val="000000"/>
          <w:sz w:val="21"/>
          <w:u w:val="single"/>
        </w:rPr>
        <w:t xml:space="preserve">合同签订之后7天内或开工日期前14天内</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发包人向承包人提供图纸的数量：</w:t>
      </w:r>
      <w:r>
        <w:rPr>
          <w:rFonts w:ascii="SimSun" w:hAnsi="SimSun" w:eastAsia="SimSun" w:cs="SimSun"/>
          <w:color w:val="000000"/>
          <w:sz w:val="21"/>
          <w:u w:val="single"/>
        </w:rPr>
        <w:t xml:space="preserve">开工前提供全套施工图纸4套，若承包人需增加图纸份数，经发包人同意后由承包人复制，费用由承包人承担。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发包人向承包人提供图纸的内容：</w:t>
      </w:r>
      <w:r>
        <w:rPr>
          <w:rFonts w:ascii="SimSun" w:hAnsi="SimSun" w:eastAsia="SimSun" w:cs="SimSun"/>
          <w:color w:val="000000"/>
          <w:sz w:val="21"/>
          <w:u w:val="single"/>
        </w:rPr>
        <w:t xml:space="preserve">发包人向承包人提供施工图纸（含效果图），除严格用于合同目的者外，由发包人和监理工程师提供的图纸、规范和其他文件未经发包人许可，承包人不得用于或转让给第三方。如果由于合同的需要公开有关信息，对其公开的必要性产生争执，则以发包人的决定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1.6.4承包人文件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需要由承包人提供的文件，包括：</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在开工前5天内，向监理工程师提交4份其格式和内容符合监理工程师规定的施工组织设计；对于关键部位和环节工程，施工前至少5天内应按监理工程师要求提交专项施工方案，以备审查批准；每月25日前应按监理工程师要求提供本月周报及下月计划各4份；每周例会前一天应按监理工程师要求提供本周周报及下周计划各4份；必要时应提供日报和日计划各4份。以上资料由监理人报送发包人2份。如承包人未及时提供相应书面材料，如有发现每次直接扣除合同总价款的5%作为违约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承包人提供的文件的期限为：</w:t>
      </w:r>
      <w:r>
        <w:rPr>
          <w:rFonts w:ascii="SimSun" w:hAnsi="SimSun" w:eastAsia="SimSun" w:cs="SimSun"/>
          <w:color w:val="000000"/>
          <w:sz w:val="21"/>
          <w:u w:val="single"/>
        </w:rPr>
        <w:t xml:space="preserve">根据发包人要求的时间前</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承包人提供的文件的数量为：</w:t>
      </w:r>
      <w:r>
        <w:rPr>
          <w:rFonts w:ascii="SimSun" w:hAnsi="SimSun" w:eastAsia="SimSun" w:cs="SimSun"/>
          <w:color w:val="000000"/>
          <w:sz w:val="21"/>
          <w:u w:val="single"/>
        </w:rPr>
        <w:t xml:space="preserve">根据发包人要求</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承包人提供的文件的形式为：</w:t>
      </w:r>
      <w:r>
        <w:rPr>
          <w:rFonts w:ascii="SimSun" w:hAnsi="SimSun" w:eastAsia="SimSun" w:cs="SimSun"/>
          <w:color w:val="000000"/>
          <w:sz w:val="21"/>
          <w:u w:val="single"/>
        </w:rPr>
        <w:t xml:space="preserve">书面形式</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监理人审批承包人文件的期限：收到承包人文件后14天内，监理人对承包人文件有异议的，承包人应予以修改，并重新报送监理人。监理人的审查并不减轻或免除承包人根据合同约定应当承担的责任。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1.6.5现场图纸准备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关于现场图纸准备的约定：</w:t>
      </w:r>
      <w:r>
        <w:rPr>
          <w:rFonts w:ascii="SimSun" w:hAnsi="SimSun" w:eastAsia="SimSun" w:cs="SimSun"/>
          <w:color w:val="000000"/>
          <w:sz w:val="21"/>
          <w:u w:val="single"/>
        </w:rPr>
        <w:t xml:space="preserve">承包人应在施工现场另外保存一套完整的图纸和承包人文件，供发包人、监理人及有关人员进行工程检查时使用</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1.7联络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1.7.1发包人和承包人应当在</w:t>
      </w:r>
      <w:r>
        <w:rPr>
          <w:rFonts w:ascii="SimSun" w:hAnsi="SimSun" w:eastAsia="SimSun" w:cs="SimSun"/>
          <w:color w:val="000000"/>
          <w:sz w:val="21"/>
          <w:u w:val="single"/>
        </w:rPr>
        <w:t xml:space="preserve"> 3 </w:t>
      </w:r>
      <w:r>
        <w:rPr>
          <w:rFonts w:ascii="SimSun" w:hAnsi="SimSun" w:eastAsia="SimSun" w:cs="SimSun"/>
          <w:color w:val="000000"/>
          <w:sz w:val="21"/>
        </w:rPr>
        <w:t xml:space="preserve">天内将与合同有关的通知、批准、证明、证书、指示、指令、要求、请求、同意、意见、确定和决定等书面函件送达对方当事人。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1.7.2发包人接收文件的地点：</w:t>
      </w:r>
      <w:r>
        <w:rPr>
          <w:rFonts w:ascii="SimSun" w:hAnsi="SimSun" w:eastAsia="SimSun" w:cs="SimSun"/>
          <w:color w:val="000000"/>
          <w:sz w:val="21"/>
          <w:u w:val="single"/>
        </w:rPr>
        <w:t xml:space="preserve">发包人指定地点；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发包人指定的接收人为：</w:t>
      </w:r>
      <w:r>
        <w:rPr>
          <w:rFonts w:ascii="SimSun" w:hAnsi="SimSun" w:eastAsia="SimSun" w:cs="SimSun"/>
          <w:color w:val="000000"/>
          <w:sz w:val="21"/>
          <w:u w:val="single"/>
        </w:rPr>
        <w:t xml:space="preserve">发包人现场代表。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承包人接收文件的地点：</w:t>
      </w:r>
      <w:r>
        <w:rPr>
          <w:rFonts w:ascii="SimSun" w:hAnsi="SimSun" w:eastAsia="SimSun" w:cs="SimSun"/>
          <w:color w:val="000000"/>
          <w:sz w:val="21"/>
          <w:u w:val="single"/>
        </w:rPr>
        <w:t xml:space="preserve">双方协商确定；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承包人指定的接收人为：</w:t>
      </w:r>
      <w:r>
        <w:rPr>
          <w:rFonts w:ascii="SimSun" w:hAnsi="SimSun" w:eastAsia="SimSun" w:cs="SimSun"/>
          <w:color w:val="000000"/>
          <w:sz w:val="21"/>
          <w:u w:val="single"/>
        </w:rPr>
        <w:t xml:space="preserve">双方协商确定。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监理人接收文件的地点：</w:t>
      </w:r>
      <w:r>
        <w:rPr>
          <w:rFonts w:ascii="SimSun" w:hAnsi="SimSun" w:eastAsia="SimSun" w:cs="SimSun"/>
          <w:color w:val="000000"/>
          <w:sz w:val="21"/>
          <w:u w:val="single"/>
        </w:rPr>
        <w:t xml:space="preserve">双方协商确定；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监理人指定的接收人为：</w:t>
      </w:r>
      <w:r>
        <w:rPr>
          <w:rFonts w:ascii="SimSun" w:hAnsi="SimSun" w:eastAsia="SimSun" w:cs="SimSun"/>
          <w:color w:val="000000"/>
          <w:sz w:val="21"/>
          <w:u w:val="single"/>
        </w:rPr>
        <w:t xml:space="preserve">双方协商确定。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1.10交通运输</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承包人根据现场已有状况，为满足施工需要的相关措施及费用已包含在合同总价中。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1.10.1出入现场的权利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关于出入现场的权利的约定：</w:t>
      </w:r>
      <w:r>
        <w:rPr>
          <w:rFonts w:ascii="SimSun" w:hAnsi="SimSun" w:eastAsia="SimSun" w:cs="SimSun"/>
          <w:color w:val="000000"/>
          <w:sz w:val="21"/>
          <w:u w:val="single"/>
        </w:rPr>
        <w:t xml:space="preserve">施工无关人员不得入内</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1.10.3场内交通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关于场外交通和场内交通的边界的约定：</w:t>
      </w:r>
      <w:r>
        <w:rPr>
          <w:rFonts w:ascii="SimSun" w:hAnsi="SimSun" w:eastAsia="SimSun" w:cs="SimSun"/>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关于发包人向承包人免费提供满足工程施工需要的场内道路和交通设施的约定：</w:t>
      </w:r>
      <w:r>
        <w:rPr>
          <w:rFonts w:ascii="SimSun" w:hAnsi="SimSun" w:eastAsia="SimSun" w:cs="SimSun"/>
          <w:color w:val="000000"/>
          <w:sz w:val="21"/>
          <w:u w:val="single"/>
        </w:rPr>
        <w:t xml:space="preserve">见现场条件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1.10.4超大件和超重件的运输</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运输超大件或超重件所需的道路和桥梁临时加固改造费用和其他有关费用：</w:t>
      </w:r>
      <w:r>
        <w:rPr>
          <w:rFonts w:ascii="SimSun" w:hAnsi="SimSun" w:eastAsia="SimSun" w:cs="SimSun"/>
          <w:color w:val="000000"/>
          <w:sz w:val="21"/>
          <w:u w:val="single"/>
        </w:rPr>
        <w:t xml:space="preserve">无</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1.11知识产权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1.11.1关于发包人提供给承包人的图纸、发包人为实施工程自行编制或委托编制的技术规范以及反映发包人关于合同要求或其他类似性质的文件的著作权的归属：</w:t>
      </w:r>
      <w:r>
        <w:rPr>
          <w:rFonts w:ascii="SimSun" w:hAnsi="SimSun" w:eastAsia="SimSun" w:cs="SimSun"/>
          <w:color w:val="000000"/>
          <w:sz w:val="21"/>
          <w:u w:val="single"/>
        </w:rPr>
        <w:t xml:space="preserve">属于发包人</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关于发包人提供的上述文件的使用限制的要求：</w:t>
      </w:r>
      <w:r>
        <w:rPr>
          <w:rFonts w:ascii="SimSun" w:hAnsi="SimSun" w:eastAsia="SimSun" w:cs="SimSun"/>
          <w:color w:val="000000"/>
          <w:sz w:val="21"/>
          <w:u w:val="single"/>
        </w:rPr>
        <w:t xml:space="preserve">承包人可以为实现合同目的而复制、使用此类文件，但不能用于与合同无关的其他事项。未经发包人书面同意，承包人不得为了合同以外的目的而复制、使用上述文件或将之提供给任何第三方，如有发现直接扣除合同总价款的5%作为违约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1.11.2关于承包人为实施工程所编制文件的著作权的归属：</w:t>
      </w:r>
      <w:r>
        <w:rPr>
          <w:rFonts w:ascii="SimSun" w:hAnsi="SimSun" w:eastAsia="SimSun" w:cs="SimSun"/>
          <w:color w:val="000000"/>
          <w:sz w:val="21"/>
          <w:u w:val="single"/>
        </w:rPr>
        <w:t xml:space="preserve">除署名权以外的著作权属于发包人</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关于承包人提供的上述文件的使用限制的要求：</w:t>
      </w:r>
      <w:r>
        <w:rPr>
          <w:rFonts w:ascii="SimSun" w:hAnsi="SimSun" w:eastAsia="SimSun" w:cs="SimSun"/>
          <w:color w:val="000000"/>
          <w:sz w:val="21"/>
          <w:u w:val="single"/>
        </w:rPr>
        <w:t xml:space="preserve">承包人可因实施工程的运行、调试、维修、改造等目的而复制、使用此类文件，但不能用于与合同无关的其他事项。未经发包人书面同意，承包人不得为了合同以外的目的而复制、使用上述文件或将之提供给任何第三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1.11.4承包人在施工过程中所采用的专利、专有技术、技术秘密的使用费的承担方式：</w:t>
      </w:r>
      <w:r>
        <w:rPr>
          <w:rFonts w:ascii="SimSun" w:hAnsi="SimSun" w:eastAsia="SimSun" w:cs="SimSun"/>
          <w:color w:val="000000"/>
          <w:sz w:val="21"/>
          <w:u w:val="single"/>
        </w:rPr>
        <w:t xml:space="preserve">结算时不予调整，已含在合同价中</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1.13工程量清单错误的修正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1.13.1出现工程量清单错误时，是否调整合同价格：</w:t>
      </w:r>
      <w:r>
        <w:rPr>
          <w:rFonts w:ascii="SimSun" w:hAnsi="SimSun" w:eastAsia="SimSun" w:cs="SimSun"/>
          <w:color w:val="000000"/>
          <w:sz w:val="21"/>
          <w:u w:val="single"/>
        </w:rPr>
        <w:t xml:space="preserve">调整</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允许调整合同价格的工程量偏差范围：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招标文件中的工程量清单标明的工程量是承包人投标报价的共同基础，竣工结算的工程量按发承包双方在合同中约定应予计量且实际完成工程量确定。工程计量时若发现清单中漏项、工程量计算偏差，以及工程变更引起工程量的增减，应按承包人在履行合同义务中实际完成量进行及时计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2、若施工中出现施工图纸（含设计变更）与工程量清单项目特征描述不符，应及时上报发包人，按照发包人确认的最终方案进行施工。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3、因分部分项工程量清单漏项、项目特征不符或非承包人原因的工程变更，造成增加新的工程量清单项目，其对应的综合单价按下列方法确定：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（1）已标价工程量清单中有适用于工程变更项目的，应采用该项目的单价；但当工程变更导致该清单项目的工程数量发生变化，且工程量偏差超过15%时，该项目单价应按照以下规定调整：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当工程量减少15%以上时，该工程量的综合单价保持不变；当工程量增加15%以上时，增加部分的工程量的综合单价应予调低；具体调整办法参照（3）（4）条。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（2）已标价工程量清单中没有适用但有类似于工程变更项目的，可在合理范围内参照类似项目的单价；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已标价工程量清单中没有适用也没有类似于变更工程项目的，应由承包人根据变更工程资料、计量规则和计价办法、工程造价管理机构发布的信息价格和承包人报价浮动率提出变更工程项目的单价，并应报发包人确认后调整。承包人报价浮动率按照以下公式计算：承包人报价浮动率=（1-中标价/最高投标限价）×100%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已标价工程量清单中没有适用也没有类似于变更工程项目的，且工程造价管理机构发布信息价缺价的，应有承包人根据变更工程资料、计量规则、计价办法和通过市场调查等取得合法依据的市场价格提出变更工程项目的单价，并应报发包人确认后调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5）承包人应根据本工程实际、承包人的施工组织设计及其自身情况，一次性地报出本工程措施费和其他项目费。对于发包人所列的措施项目，承包人可根据工程实际与施工组织设计进行增补，但不应更改发包人已列措施项目。结算时，除工程变更引起施工方案改变外，承包人不得以招标工程措施项目清单缺项为由要求新增措施项目。工程变更引起施工方案改变并使措施项目发生变化时，承包人提出调整措施项目费的，应事先将拟实施的方案提交发包人确认，并应详细说明与原方案措施项目相比的变化情况。拟实施的方案经发承包双方确认后执行，并应按照下列规定调整措</w:t>
      </w:r>
      <w:r>
        <w:rPr>
          <w:rFonts w:ascii="SimSun" w:hAnsi="SimSun" w:eastAsia="SimSun" w:cs="SimSun"/>
          <w:color w:val="000000"/>
          <w:sz w:val="21"/>
          <w:u w:val="single"/>
        </w:rPr>
        <w:t xml:space="preserve">施项目费：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①安全文明施工费应按照实际发生变化的措施项目执行连建管〔2025〕40号文执行；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②采用单价计算的措施项目费，按照实际发生变化措施项目，按照上述（1）（2）（3）（4）条确定单价，工程量按实计算；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③按总价计算的措施项目费，以项为单位的包干使用。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④采用费率计算的措施项目费，以原计算基数按实调整。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如果承包人未事先将拟实施方案提交给发包人确认，则应视为工程变更不引起措施项目费的调整或承包人放弃调整措施项目费的权利；</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不平衡报价的处理方式：对于工程量增加的过高价（综合单价超过控制价中相同清单综合单价的25%为过高价项目）项目和超过投标清单工程量超过15%部分（工程量超过15%以内的，按原综合单价执行），将调整其综合单价，重新按照计价表组价，其人工、材料、机械的消耗量按江苏省现行计价表执行，材料单价按已标价工程量清单中相同或类似的正常投标价格，没有相同或类似的，按市场价并需经发包人确认，管理费率、利润率按已标价工程量清单中最低费率报价项目的费率计取；对于工程量减少的过低价项目，按投标价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2.发包人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2.2发包人代表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发包人代表：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身份证号：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职务：</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发包人对发包人代表的授权范围如下：</w:t>
      </w:r>
      <w:r>
        <w:rPr>
          <w:rFonts w:ascii="SimSun" w:hAnsi="SimSun" w:eastAsia="SimSun" w:cs="SimSun"/>
          <w:color w:val="000000"/>
          <w:sz w:val="21"/>
          <w:u w:val="single"/>
        </w:rPr>
        <w:t xml:space="preserve">对工程进行全面监督、审批监理工程师提交的报告；检查、督促施工单位、监理单位的现场工作；组织协调施工现场与工程相关部门的工作，发包人指令的下达、相关问题的处理。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2.4施工现场、施工条件和基础资料的提供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2.4.1提供施工现场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关于发包人移交施工现场的期限要求：</w:t>
      </w:r>
      <w:r>
        <w:rPr>
          <w:rFonts w:ascii="SimSun" w:hAnsi="SimSun" w:eastAsia="SimSun" w:cs="SimSun"/>
          <w:color w:val="000000"/>
          <w:sz w:val="21"/>
          <w:u w:val="single"/>
        </w:rPr>
        <w:t xml:space="preserve">发包人应最迟于开工日期7天前向承包人移交施工现场</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2.4.2提供施工条件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关于发包人应负责提供施工所需要的条件，包括：</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(1)施工现场仅提供水源、电源接口，由承包人自行解决接水接电，承包人根据现场情况自行考虑供水、供电费用（含接水、接电费用）并已包括在合同总价中，以后不作调整。通讯工具自备</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(2)施工场地与公共道路的通道开通时间和要求：见现场实际条件，包含在合同价中</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2.4.3提供基础资料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发包人提供现有资料供承包人使用，承包人自行踏勘现场确定</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(1)由发包人办理的施工所需证件、批件的名称和完成时间：/。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(2)水准点与坐标控制点交验要求：开工前由承发包双方在监理单位见证下现场交验，并以书面形式提供给承包人。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(3)图纸会审和设计交底时间：开工前由发包人组织监理、承包人和设计单位进行图纸会审和设计交底。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(4)双方约定发包人应做的其他工作：无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2.5资金来源证明及支付担保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发包人提供资金来源证明的期限要求：</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发包人是否提供支付担保：</w:t>
      </w:r>
      <w:r>
        <w:rPr>
          <w:rFonts w:ascii="SimSun" w:hAnsi="SimSun" w:eastAsia="SimSun" w:cs="SimSun"/>
          <w:color w:val="000000"/>
          <w:sz w:val="21"/>
          <w:u w:val="single"/>
        </w:rPr>
        <w:t xml:space="preserve"> 否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发包人提供支付担保的形式：</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3.承包人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3.1承包人的一般义务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承包人在履行合同过程中应遵守法律和工程建设标准规范，并履行以下义务：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（1）办理法律规定应由承包人办理的许可和批准，并将办理结果书面报送发包人留存；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（2）按法律规定和合同约定完成工程，并在保修期内承担保修义务；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（3）按法律规定和合同约定采取施工安全和环境保护措施，办理工伤保险，确保工程及人员、材料、设备和设施的安全；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（4）按合同约定的工作内容和施工进度要求，编制施工组织设计和施工措施计划，并对所有施工作业和施工方法的完备性和安全可靠性负责；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施工场地清洁符合环境卫生管理的相关规定，交工前应将一切建筑垃圾、施工废弃物清理干净，并运至发包人或政府有关部门指定地点，使完工工程交付发包人后达到正常环境卫生的要求；同时承担因自身原因违反有关规定造成的损失和违约金；若不及时清理的，发包方有权委托第三方予以清理，因此发生的费用发包方从工程款中直接扣除，不足部分承包人有义务予以补足，并承担逾期清理的违约责任，按照实际发生清理费数额的50%向发包方支付违约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按照通用条款第6.3款〔环境保护〕约定负责施工场地及其周边环境与生态的保护工作；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（7）按通用条款第6.1款〔安全文明施工〕约定采取施工安全措施，确保工程及其人员、材料、设备和设施的安全，防止因工程施工造成的人身伤害和财产损失；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（8）将发包人按合同约定支付的各项价款专用于合同工程，且应及时支付其雇用人员工资，并及时向分包人支付合同价款；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（9）承包人提交的竣工资料的内容：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承包人应在工程具备竣工验收条件后40天内按国家工程竣工验收标准，向发包人提供完整竣工资料(含竣工图)及竣工验收报告 [不少于两套竣工资料原件，电子文档一套(含竣工图两套)]，且符合工程所在地质安站、城建档案馆等相关部门要求，并自行承担相关费用。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承包人需要提交的竣工资料套数：</w:t>
      </w:r>
      <w:r>
        <w:rPr>
          <w:rFonts w:ascii="SimSun" w:hAnsi="SimSun" w:eastAsia="SimSun" w:cs="SimSun"/>
          <w:color w:val="000000"/>
          <w:sz w:val="21"/>
          <w:u w:val="single"/>
        </w:rPr>
        <w:t xml:space="preserve">承包人需要提交的竣工资料套数：不少于两套竣工资料原件，电子文档一套(含竣工图两套)</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承包人提交的竣工资料的费用承担：</w:t>
      </w:r>
      <w:r>
        <w:rPr>
          <w:rFonts w:ascii="SimSun" w:hAnsi="SimSun" w:eastAsia="SimSun" w:cs="SimSun"/>
          <w:color w:val="000000"/>
          <w:sz w:val="21"/>
          <w:u w:val="single"/>
        </w:rPr>
        <w:t xml:space="preserve">承包人自行承担</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承包人提交的竣工资料移交时间：</w:t>
      </w:r>
      <w:r>
        <w:rPr>
          <w:rFonts w:ascii="SimSun" w:hAnsi="SimSun" w:eastAsia="SimSun" w:cs="SimSun"/>
          <w:color w:val="000000"/>
          <w:sz w:val="21"/>
          <w:u w:val="single"/>
        </w:rPr>
        <w:t xml:space="preserve">工程具备竣工验收条件后40天内</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承包人提交的竣工资料形式要求：</w:t>
      </w:r>
      <w:r>
        <w:rPr>
          <w:rFonts w:ascii="SimSun" w:hAnsi="SimSun" w:eastAsia="SimSun" w:cs="SimSun"/>
          <w:color w:val="000000"/>
          <w:sz w:val="21"/>
          <w:u w:val="single"/>
        </w:rPr>
        <w:t xml:space="preserve">书面文件和电子文件</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(10)承包人应履行的其他义务：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承担施工安全保卫工作及非夜间施工照明的责任和要求：承包人认真做好施工现场的安全防护工作（包括照明、安全设施等），承包人对安全防护工作负全责（责任和费用）。在实施和完成本工程过程中，承包人应充分关注和保障所有在场人员及行人的安全，采取有效措施，使施工现场和本工程的实施保持有条不紊；为保护本工程免遭损坏，或为现场附近和过往人群的安全与方便，在确有必要的时候和地方，当监理工程师或有关主管部门要求时，承包人应提供照明、警卫、护栅、警告标志等安全防护措施。非施工人员不得进入现场。相关费用已包含在合同价中。</w:t>
      </w:r>
      <w:r>
        <w:rPr>
          <w:rFonts w:ascii="SimSun" w:hAnsi="SimSun" w:eastAsia="SimSun" w:cs="SimSun"/>
          <w:color w:val="000000"/>
          <w:sz w:val="21"/>
        </w:rPr>
        <w:t xml:space="preserve">发生安全事故，由承包人承担所有责任，发包人不承担任何责任。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（10.2）需承包人办理的有关施工场地交通、环卫和施工噪音管理等手续: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应遵守政府有关主管部门对施工场地及城市道路、周边建筑排污、渣土、环保（含施工噪音、施工粉尘）、环卫、市容、城建、治安、交管、人口管理以及安全生产等的管理规定，由承包人办理相关手续，并由承包人承担发生的一切费用，发包人不承担任何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（10.3）已完工程成品保护的特殊要求及费用承担：由承包人负责成品保护并承担费用，发包人不承担任何费用。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因承包人原因造成破坏的，承包人必须无条件及时修复，并承担由此发生的全部费用和责任，发包人不承担任何费用和责任。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（10.4）施工场地清洁卫生的要求：按标准化施工现场管理，保持现场清洁，符合环境要求；交工前清理现场，因施工产生的垃圾外运，费用由承包人自理，发包人不承担任何费用。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10.5）承包人有义务对本工程图纸详细审阅，并提出合理化建议，确保施工期间尽量少发生拆除变更等浪费现象。施工过程中因承包人与周围发生的纠纷由承包人自行协商解决，费用由承包人承担，发包人不承担任何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（10.6）双方约定承包人应做的其他工作：（包括但不限于）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 承包人如因施工现场道路及周边环境所限，导致运输车辆不能到达指定地点发生二次转运或延误工期等情况，承包人承担相应责任及费用。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b.施工过程中，部分工序按规定须有监理旁站和监督下进行的，必须及时通知监理旁站和监督，并且有及时的记录，记录原始稿上须有发包人、监理、承包人共同签字和具体实施部位工序和日期，每天一签，每天要送发包人、监理方各一份，该记录原始稿将作为计量和验收的依据，否则不予验收和计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c.严格按施工图纸、国家现行的施工及技术验收规范进行施工，做好自检工作，并按规定程序进行检测和报验，确保工程质量和工期。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d.严格按施工安全规范要求采取预防事故的措施，确保施工安全和第三者安全。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e. 承包人应派出专业安全人员、质量人员在施工现场实施全天候值班。凡施工中因承包人原因发生的一切安全事故，均由承包人承担责任并负责赔偿由此造成的损失，发包人不承担任何费用和责任。事故发生后承包人应书面报告发包人或主管单位备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f.施工中承包人应做好施工原始记录，隐蔽工程记录，按照国家验收规范的要求，整理、检查、编制工程验收竣工资料。并在竣工时按规定移交发包人。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g.在施工中，由承包人自身原因造成的停工、返工、材料、物件的倒运、机械二次进场等损失，均由承包人承担。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h.承包人采购设备、材料前须得到发包人和监理工程师的认可，发包人对设备、材料的品牌有规定，必须按其规定执行，否则，发包人有权要求承包人按规定品牌更换，但承包人所报材料单价不作调整。材料的规格、技术指标、质量等级详见施工图（含效果图）, 同时应满足相关技术规范要求。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i.其他1、竣工资料符合主管部门关于档案资料的要求；2、准时参加监理组织的每周工程例会和专题会议；3、应接受发包人的现场协调管理；4、其他事宜由双方协商另定。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承包人未能按要求履行以上各项义务，造成发包人损失的，承包人应赔偿发包人有关损失。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3.2项目负责人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3.2.1项目负责人：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身份证号：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证 书 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承包人对项目负责人的授权范围如下：</w:t>
      </w:r>
      <w:r>
        <w:rPr>
          <w:rFonts w:ascii="SimSun" w:hAnsi="SimSun" w:eastAsia="SimSun" w:cs="SimSun"/>
          <w:color w:val="000000"/>
          <w:sz w:val="21"/>
          <w:u w:val="single"/>
        </w:rPr>
        <w:t xml:space="preserve"> 对工程进行全面监督、审批监理工程师提交的报告、协调外部关系以保证工程顺利进行；检查、督促施工单位、监理单位的现场工作；组织协调施工现场与工程相关部门的工作，发包人指令的下达、相关问题的处理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关于项目负责人每月在施工现场的时间要求：</w:t>
      </w:r>
      <w:r>
        <w:rPr>
          <w:rFonts w:ascii="SimSun" w:hAnsi="SimSun" w:eastAsia="SimSun" w:cs="SimSun"/>
          <w:color w:val="000000"/>
          <w:sz w:val="21"/>
          <w:u w:val="single"/>
        </w:rPr>
        <w:t xml:space="preserve">开工之日起到竣工结束，项目经理(包含项目技术负责人及其他项目组管理人员)每周至少5日，每天必须保证8小时以上在现场组织施工，离开现场需书面形式征得发包人的负责人同意。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承包人未提交劳动合同，以及没有为项目经理缴纳社会保险证明的违约责任：</w:t>
      </w:r>
      <w:r>
        <w:rPr>
          <w:rFonts w:ascii="SimSun" w:hAnsi="SimSun" w:eastAsia="SimSun" w:cs="SimSun"/>
          <w:color w:val="000000"/>
          <w:sz w:val="21"/>
          <w:u w:val="single"/>
        </w:rPr>
        <w:t xml:space="preserve">发包人按5万元/次进行处罚，同时发包人有权要求承包人更换项目经理，且更换后的项目经理资质等级、业绩不低于原项目经理，否则发包人有权解除施工合同。因此造成的所有损失由承包人承担。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项目经理未经批准，擅自离开施工现场的违约责任：</w:t>
      </w:r>
      <w:r>
        <w:rPr>
          <w:rFonts w:ascii="SimSun" w:hAnsi="SimSun" w:eastAsia="SimSun" w:cs="SimSun"/>
          <w:color w:val="000000"/>
          <w:sz w:val="21"/>
          <w:u w:val="single"/>
        </w:rPr>
        <w:t xml:space="preserve">除应改正外，还应按10000元/次向发包人支付违约金，违约金从合同价款中扣除。如累计发现五次项目经理擅自离开施工现场，视为承包人擅自更换项目经理，按照3.2.3条款约定执行。因此造成的所有损失由承包人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3.2.3 承包人擅自更换项目负责人的违约责任：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项目经理及项目总工只有在发生以下特殊情况方可更换：</w:t>
      </w:r>
      <w:r>
        <w:rPr>
          <w:rFonts w:ascii="SimSun" w:hAnsi="SimSun" w:eastAsia="SimSun" w:cs="SimSun"/>
          <w:color w:val="000000"/>
          <w:sz w:val="21"/>
          <w:u w:val="single"/>
        </w:rPr>
        <w:t xml:space="preserve">因故伤残或重大疾病丧失工作能力或死亡的、调离承包人单位的、被有关部门责令吊销执业资格的</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除上述特殊情况发生项目负责人更换的，承包人应承担相应的违约责任：</w:t>
      </w:r>
      <w:r>
        <w:rPr>
          <w:rFonts w:ascii="SimSun" w:hAnsi="SimSun" w:eastAsia="SimSun" w:cs="SimSun"/>
          <w:color w:val="000000"/>
          <w:sz w:val="21"/>
          <w:u w:val="single"/>
        </w:rPr>
        <w:t xml:space="preserve">除应改正外，还应向发包人支付违约金10万元，违约金从合同价款中扣除；拒不改正的，发包人还有权解除本合同。因此造成的所有损失由承包人承担。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3.2.4承包人无正当理由拒绝更换项目负责人的违约责任：</w:t>
      </w:r>
      <w:r>
        <w:rPr>
          <w:rFonts w:ascii="SimSun" w:hAnsi="SimSun" w:eastAsia="SimSun" w:cs="SimSun"/>
          <w:color w:val="000000"/>
          <w:sz w:val="21"/>
          <w:u w:val="single"/>
        </w:rPr>
        <w:t xml:space="preserve">发包人扣除履约保证金，同时有权解除施工合同，因此造成的所有损失由承包人承担。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项目管理团队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技术负责人：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rPr>
          <w:rFonts w:ascii="SimSun" w:hAnsi="SimSun" w:eastAsia="SimSun" w:cs="SimSun"/>
          <w:color w:val="000000"/>
          <w:sz w:val="21"/>
          <w:u w:val="single"/>
        </w:rPr>
        <w:t xml:space="preserve">  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身份证号：</w:t>
      </w:r>
      <w:r>
        <w:rPr>
          <w:rFonts w:ascii="SimSun" w:hAnsi="SimSun" w:eastAsia="SimSun" w:cs="SimSun"/>
          <w:color w:val="000000"/>
          <w:sz w:val="21"/>
          <w:u w:val="single"/>
        </w:rPr>
        <w:t xml:space="preserve">  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注册（执业）证书名称及号码：</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  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rPr>
          <w:rFonts w:ascii="SimSun" w:hAnsi="SimSun" w:eastAsia="SimSun" w:cs="SimSun"/>
          <w:color w:val="000000"/>
          <w:sz w:val="21"/>
          <w:u w:val="single"/>
        </w:rPr>
        <w:t xml:space="preserve">  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身份证号：</w:t>
      </w:r>
      <w:r>
        <w:rPr>
          <w:rFonts w:ascii="SimSun" w:hAnsi="SimSun" w:eastAsia="SimSun" w:cs="SimSun"/>
          <w:color w:val="000000"/>
          <w:sz w:val="21"/>
          <w:u w:val="single"/>
        </w:rPr>
        <w:t xml:space="preserve">  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施工员证书号：</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  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质监员：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rPr>
          <w:rFonts w:ascii="SimSun" w:hAnsi="SimSun" w:eastAsia="SimSun" w:cs="SimSun"/>
          <w:color w:val="000000"/>
          <w:sz w:val="21"/>
          <w:u w:val="single"/>
        </w:rPr>
        <w:t xml:space="preserve">  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身份证号：</w:t>
      </w:r>
      <w:r>
        <w:rPr>
          <w:rFonts w:ascii="SimSun" w:hAnsi="SimSun" w:eastAsia="SimSun" w:cs="SimSun"/>
          <w:color w:val="000000"/>
          <w:sz w:val="21"/>
          <w:u w:val="single"/>
        </w:rPr>
        <w:t xml:space="preserve">  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质监员证书号：</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  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rPr>
          <w:rFonts w:ascii="SimSun" w:hAnsi="SimSun" w:eastAsia="SimSun" w:cs="SimSun"/>
          <w:color w:val="000000"/>
          <w:sz w:val="21"/>
          <w:u w:val="single"/>
        </w:rPr>
        <w:t xml:space="preserve">  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身份证号：</w:t>
      </w:r>
      <w:r>
        <w:rPr>
          <w:rFonts w:ascii="SimSun" w:hAnsi="SimSun" w:eastAsia="SimSun" w:cs="SimSun"/>
          <w:color w:val="000000"/>
          <w:sz w:val="21"/>
          <w:u w:val="single"/>
        </w:rPr>
        <w:t xml:space="preserve">  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安全员证书号：</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  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本工程投标主要技术管理人员承包人不得单方面更换；若出现更换情况发包人有权要求承包人改正，若乙方拒绝改正的，则发包人有权终止合同并责令承包人退场,并按10000元/天索赔(从违约之日至退场之日)。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3.3.1承包人提交项目</w:t>
      </w:r>
      <w:r>
        <w:rPr>
          <w:rFonts w:ascii="SimSun" w:hAnsi="SimSun" w:eastAsia="SimSun" w:cs="SimSun"/>
          <w:b/>
          <w:color w:val="000000"/>
          <w:sz w:val="21"/>
        </w:rPr>
        <w:t xml:space="preserve">项目管理团队</w:t>
      </w:r>
      <w:r>
        <w:rPr>
          <w:rFonts w:ascii="SimSun" w:hAnsi="SimSun" w:eastAsia="SimSun" w:cs="SimSun"/>
          <w:color w:val="000000"/>
          <w:sz w:val="21"/>
        </w:rPr>
        <w:t xml:space="preserve">组织架构的期限：</w:t>
      </w:r>
      <w:r>
        <w:rPr>
          <w:rFonts w:ascii="SimSun" w:hAnsi="SimSun" w:eastAsia="SimSun" w:cs="SimSun"/>
          <w:color w:val="000000"/>
          <w:sz w:val="21"/>
          <w:u w:val="single"/>
        </w:rPr>
        <w:t xml:space="preserve">接到开工通知后7天内</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3.3.3承包人无正当理由拒绝撤换主要施工管理人员的违约责任：</w:t>
      </w:r>
      <w:r>
        <w:rPr>
          <w:rFonts w:ascii="SimSun" w:hAnsi="SimSun" w:eastAsia="SimSun" w:cs="SimSun"/>
          <w:color w:val="000000"/>
          <w:sz w:val="21"/>
          <w:u w:val="single"/>
        </w:rPr>
        <w:t xml:space="preserve">除应改正外，承包人还应向发包人支付违约金10000元/人，违约金从合同价款中扣除；拒不改正的，发包人有权解除合同，追回已经支付的款项，并报招标办备案</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3.3.4承包人主要施工管理人员离开施工现场的批准要求：</w:t>
      </w:r>
      <w:r>
        <w:rPr>
          <w:rFonts w:ascii="SimSun" w:hAnsi="SimSun" w:eastAsia="SimSun" w:cs="SimSun"/>
          <w:color w:val="000000"/>
          <w:sz w:val="21"/>
          <w:u w:val="single"/>
        </w:rPr>
        <w:t xml:space="preserve">合同签订后，项目班子主要成员（技术负责人、施工员、质量员、安全员）不到位，则监理工程师有权不签发开工令，施工中项目管理部的主要成员离开工地应向发包人代表请假，经过批准后方能离开</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3.3.5承包人擅自更换主要施工管理人员的违约责任：</w:t>
      </w:r>
      <w:r>
        <w:rPr>
          <w:rFonts w:ascii="SimSun" w:hAnsi="SimSun" w:eastAsia="SimSun" w:cs="SimSun"/>
          <w:color w:val="000000"/>
          <w:sz w:val="21"/>
          <w:u w:val="single"/>
        </w:rPr>
        <w:t xml:space="preserve">除应改正外，还应向发包人支付10000元/人/次的违约金，同时要求承包人更换后的主要施工管理人员资质等级、业绩不低于原主要施工管理人员，违约金从合同价款中扣除</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承包人主要施工管理人员擅自离开施工现场的违约责任：</w:t>
      </w:r>
      <w:r>
        <w:rPr>
          <w:rFonts w:ascii="SimSun" w:hAnsi="SimSun" w:eastAsia="SimSun" w:cs="SimSun"/>
          <w:color w:val="000000"/>
          <w:sz w:val="21"/>
          <w:u w:val="single"/>
        </w:rPr>
        <w:t xml:space="preserve">项目经理部主要管理人员(技术负责人、施工员、质量员、安全员)，未能常驻现场的，承包人需向发包人按2000元/人/次支付违约金，违约金从合同价款中扣除</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更换后的项目经理、主要施工管理人员的资质等级、业绩不低于原项目经理、主要施工管理人员，否则发包人有权解除施工合同。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3.5分包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3.5.1分包的一般约定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禁止分包的工程包括：</w:t>
      </w:r>
      <w:r>
        <w:rPr>
          <w:rFonts w:ascii="SimSun" w:hAnsi="SimSun" w:eastAsia="SimSun" w:cs="SimSun"/>
          <w:color w:val="000000"/>
          <w:sz w:val="21"/>
          <w:u w:val="single"/>
        </w:rPr>
        <w:t xml:space="preserve">未经发包人书面同意，承包人不得进行任何形式的分包。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主体结构、关键性工作的范围：</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3.5.2分包的确定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允许分包的专业工程包括:</w:t>
      </w:r>
      <w:r>
        <w:rPr>
          <w:rFonts w:ascii="SimSun" w:hAnsi="SimSun" w:eastAsia="SimSun" w:cs="SimSun"/>
          <w:color w:val="000000"/>
          <w:sz w:val="21"/>
          <w:u w:val="single"/>
        </w:rPr>
        <w:t xml:space="preserve">本工程不允许违法分包</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其他关于分包的约定：</w:t>
      </w:r>
      <w:r>
        <w:rPr>
          <w:rFonts w:ascii="SimSun" w:hAnsi="SimSun" w:eastAsia="SimSun" w:cs="SimSun"/>
          <w:color w:val="000000"/>
          <w:sz w:val="21"/>
          <w:u w:val="single"/>
        </w:rPr>
        <w:t xml:space="preserve">一经发现分包，发包人有权解除本合同，并有权要求承包人按签约合同价的30%支付违约金</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3.6工程照管与成品、半成品保护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承包人负责照管工程及工程相关的材料、工程设备的起始时间：</w:t>
      </w:r>
      <w:r>
        <w:rPr>
          <w:rFonts w:ascii="SimSun" w:hAnsi="SimSun" w:eastAsia="SimSun" w:cs="SimSun"/>
          <w:color w:val="000000"/>
          <w:sz w:val="21"/>
          <w:u w:val="single"/>
        </w:rPr>
        <w:t xml:space="preserve">自项目开工之日起，承包人应负责照管工程及工程相关的材料、工程设备，直到工程竣工验收合格之日止。工程交付前成品保护由承包人负责，费用由承包人承担。已竣工工程未交付发包人之前，承包人负责已完工程的保护工作，承担毁损、火灾、丢失的风险，保护期间发生损坏、失窃，承包人自费予以修复；已竣工工程未交付使用前，承包人应负责已完工程的成品保护工作</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3.7履约担保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承包人是否提供履约担保：</w:t>
      </w:r>
      <w:r>
        <w:rPr>
          <w:rFonts w:ascii="SimSun" w:hAnsi="SimSun" w:eastAsia="SimSun" w:cs="SimSun"/>
          <w:b/>
          <w:color w:val="000000"/>
          <w:sz w:val="21"/>
          <w:u w:val="single"/>
        </w:rPr>
        <w:t xml:space="preserve"> 是 </w:t>
      </w:r>
      <w:r>
        <w:rPr>
          <w:rFonts w:ascii="SimSun" w:hAnsi="SimSun" w:eastAsia="SimSun" w:cs="SimSun"/>
          <w:b/>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履约保证金的形式:</w:t>
      </w:r>
      <w:r>
        <w:rPr>
          <w:rFonts w:ascii="SimSun" w:hAnsi="SimSun" w:eastAsia="SimSun" w:cs="SimSun"/>
          <w:b/>
          <w:color w:val="000000"/>
          <w:sz w:val="21"/>
        </w:rPr>
        <w:t xml:space="preserve"> </w:t>
      </w:r>
      <w:r>
        <w:rPr>
          <w:rFonts w:ascii="SimSun" w:hAnsi="SimSun" w:eastAsia="SimSun" w:cs="SimSun"/>
          <w:b/>
          <w:color w:val="000000"/>
          <w:sz w:val="21"/>
          <w:u w:val="single"/>
        </w:rPr>
        <w:t xml:space="preserve">支票、汇票、本票、保函（包括金融机构、担保机构出具的保函、保险等）等非现金形式（有效期至工程竣工验收合格之日） </w:t>
      </w:r>
      <w:r>
        <w:rPr>
          <w:rFonts w:ascii="SimSun" w:hAnsi="SimSun" w:eastAsia="SimSun" w:cs="SimSun"/>
          <w:b/>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履约担保的金额：</w:t>
      </w:r>
      <w:r>
        <w:rPr>
          <w:rFonts w:ascii="SimSun" w:hAnsi="SimSun" w:eastAsia="SimSun" w:cs="SimSun"/>
          <w:b/>
          <w:color w:val="000000"/>
          <w:sz w:val="21"/>
          <w:u w:val="single"/>
        </w:rPr>
        <w:t xml:space="preserve">合同价的10%</w:t>
      </w:r>
      <w:r>
        <w:rPr>
          <w:rFonts w:ascii="SimSun" w:hAnsi="SimSun" w:eastAsia="SimSun" w:cs="SimSun"/>
          <w:b/>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交付时间及退还：</w:t>
      </w:r>
      <w:r>
        <w:rPr>
          <w:rFonts w:ascii="SimSun" w:hAnsi="SimSun" w:eastAsia="SimSun" w:cs="SimSun"/>
          <w:b/>
          <w:color w:val="000000"/>
          <w:sz w:val="21"/>
          <w:u w:val="single"/>
        </w:rPr>
        <w:t xml:space="preserve">合同签订前交付发包人。担保有效期至本工程竣工验收合格之日。以现金方式交纳履约保证金的，该保证金在工程竣工验收合格并交付发包人之后28日内无息退还。除按本合同专用条款约定从履约保证金中扣除的相应费用（罚款）外，剩余履约保证金于发包人签发交工验收证书且承包人按照合同约定缴纳质量保证金后28日内退还。采用履约担保（银行保函）形式的，成交供应商按合同专用条款约定缴纳相应费用（罚款）后28日内履行保函退还手续。</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不予退还的情形：</w:t>
      </w:r>
      <w:r>
        <w:rPr>
          <w:rFonts w:ascii="SimSun" w:hAnsi="SimSun" w:eastAsia="SimSun" w:cs="SimSun"/>
          <w:b/>
          <w:color w:val="000000"/>
          <w:sz w:val="21"/>
          <w:u w:val="single"/>
        </w:rPr>
        <w:t xml:space="preserve">承包人不履行合同，履约保证金不予返还。承包人违约的，发包人将按照合同约定扣除其全部或部分履约保证金。如承包人违约给发包人造成的损失超过履约保证金的，应当依法赔偿超过部分的损失。</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逾期退还履约保证金的违约责任：</w:t>
      </w:r>
      <w:r>
        <w:rPr>
          <w:rFonts w:ascii="SimSun" w:hAnsi="SimSun" w:eastAsia="SimSun" w:cs="SimSun"/>
          <w:b/>
          <w:color w:val="000000"/>
          <w:sz w:val="21"/>
          <w:u w:val="single"/>
        </w:rPr>
        <w:t xml:space="preserve">除不可抗力外，发包人逾期退还履约保证金的，除应当退还履约保证金本金外，还应按商业银行同期贷款利率上浮10%后的利率支付资金占用费。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4.监理人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4.1监理人的一般规定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关于监理人的监理内容：</w:t>
      </w:r>
      <w:r>
        <w:rPr>
          <w:rFonts w:ascii="SimSun" w:hAnsi="SimSun" w:eastAsia="SimSun" w:cs="SimSun"/>
          <w:color w:val="000000"/>
          <w:sz w:val="21"/>
          <w:u w:val="single"/>
        </w:rPr>
        <w:t xml:space="preserve">对本工程施工及保修阶段的进度、质量、投资控制，安全、文明施工、合同、信息管理和组织协调</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关于监理人的监理权限：</w:t>
      </w:r>
      <w:r>
        <w:rPr>
          <w:rFonts w:ascii="SimSun" w:hAnsi="SimSun" w:eastAsia="SimSun" w:cs="SimSun"/>
          <w:color w:val="000000"/>
          <w:sz w:val="21"/>
          <w:u w:val="single"/>
        </w:rPr>
        <w:t xml:space="preserve">需要取得发包人批准才能行使的职权：（1）批准工程任何部分的发包合同；（2）费用的增加以及发包人合同义务的增加；（3）工程的延期；（4）发布变更指令；（5）批准设计变更；（6）发布工程开工令、停工令和复工令，以及单项工程超出三天以上的暂停施工或复工；（7）索赔的支付；(8)工程款支付 。发包人有权变更监理人的职权，但应提前书面通知承包人</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关于监理人在施工现场的办公场所、生活场所的提供和费用承担的约定：</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4.2监理人员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总监理工程师：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职务：</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监理工程师执业资格证书号：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关于监理人的其他约定：</w:t>
      </w:r>
      <w:r>
        <w:rPr>
          <w:rFonts w:ascii="SimSun" w:hAnsi="SimSun" w:eastAsia="SimSun" w:cs="SimSun"/>
          <w:color w:val="000000"/>
          <w:sz w:val="21"/>
          <w:u w:val="single"/>
        </w:rPr>
        <w:t xml:space="preserve">其监理内容和监理权限以甲方和监理单位签订的监理合同为准，甲方有权对这些内容和权限进行相应的调整，但须提前7天告知乙方。如监理合同与本合同规定不符，应以本合同为准。监理单位委派到项目的总监分别为（以甲方的函件为准）。若监理单位调整项目的监理人员，甲方将及时通知乙方。其后任继续行使合同文件约定的前任的职权，履行前任的义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5.工程质量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质量要求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5.1.1 特殊质量标准和要求：</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关于工程奖项的约定：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5.3隐蔽工程检查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5.3.1承包人提前通知监理人隐蔽工程检查的期限的约定：工程具备隐蔽条件或达到专用条款约定的中间验收部位，承包人进行自检，并在共同验收前48小时以书面形式通知监理人检查，通知中应载明包括隐蔽检查的内容、时间和地点，并附有自检记录和必要的检查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监理人不能按时进行检查时，应提前24小时提交书面延期要求。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关于延期最长不得超过：48小时。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6.安全文明施工与环境保护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6.1安全文明施工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6.1.1项目安全生产的达标目标及相应事项的约定：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发包人及建设主管单位将对施工现场进行周期性检查，该检查应不影响正常施工，承包人应予以配合</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承包人应当遵守工程建设安全生产有关管理规定，严格按安全标准组织施工，并随时接受监督检查，采取必要的安全防护措施，消除事故隐患，安全防护费用已含在合同价款内。承包人负责施工现场的安全及第三方人身安全。本工程施工期间至竣工交付使用前，所发生的一切安全相关事件均与发包人无关，均由承包人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6.1.4关于治安保卫的特别约定：实施和完成本工程过程中，承包人应充分关注和保障所有在场人员及行人的安全，承包人应在开工后7日内编制施工场地治安管理计划，并制定应对突发治安事件的紧急预案。在工程施工过程中，发生暴乱、爆炸等恐怖事件以及群殴、械斗等群体性突发治安事件的，应立即上报并采取有效措施积极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关于编制施工场地治安管理计划的约定：为保护本工程免遭损坏，或为现场附近和过往人群的安全与方便，在确有必要的时候和地方，当监理工程师或有关主管部门要求时，承包人应提供照明、警卫、护栅、警告标志等安全防护措施，非施工人员不得进入现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承包人应对其在施工场地的工作人员进行治安管理教育，制定相应管理制度，并对他们的安全负责。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6.1.5文明施工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合同当事人对文明施工的要求：</w:t>
      </w:r>
      <w:r>
        <w:rPr>
          <w:rFonts w:ascii="SimSun" w:hAnsi="SimSun" w:eastAsia="SimSun" w:cs="SimSun"/>
          <w:color w:val="000000"/>
          <w:sz w:val="21"/>
          <w:u w:val="single"/>
        </w:rPr>
        <w:t xml:space="preserve">保持场地整洁卫生，因为违纪行为发生的清理处罚费用由承包人承担，保证工完料清，并保证工地周围环境整洁，同时遵守发包人的其他有关管理要求。费用包含在合同总价中</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承包人要制定生活和环境卫生管理制度，要搞好职工宿舍卫生和食堂的饮食卫生，并做好厕所保洁工作。临时搭建须经发包人批准，且应整齐美观</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6.1.6关于安全文明施工费支付比例和支付期限的约定：现场安全文明施工措施费按照连建管〔2025〕40号文执行。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7.工期和进度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7.1施工组织设计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7.1.1合同当事人约定的施工组织设计应包括的其他内容：</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7.1.2施工组织设计的提交和修改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承包人提交详细施工组织设计的期限的约定：</w:t>
      </w:r>
      <w:r>
        <w:rPr>
          <w:rFonts w:ascii="SimSun" w:hAnsi="SimSun" w:eastAsia="SimSun" w:cs="SimSun"/>
          <w:color w:val="000000"/>
          <w:sz w:val="21"/>
          <w:u w:val="single"/>
        </w:rPr>
        <w:t xml:space="preserve">承包人在合同签订后14天内，且不得迟于开工前7天</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发包人和监理人在收到详细的施工组织设计后确认或提出修改意见的期限：</w:t>
      </w:r>
      <w:r>
        <w:rPr>
          <w:rFonts w:ascii="SimSun" w:hAnsi="SimSun" w:eastAsia="SimSun" w:cs="SimSun"/>
          <w:color w:val="000000"/>
          <w:sz w:val="21"/>
          <w:u w:val="single"/>
        </w:rPr>
        <w:t xml:space="preserve">收到后7日内</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7.2施工进度计划</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7.2.1进场后一周内提供材料计划，每月25日前分别向发包人及监理工程师提供下月详细的施工进度计划、甲控乙购材料清单、材料进场计划、劳动用工计划等资料（总进度计划要以横道图和网络图两种形式提供），每月28日前分别向发包人及监理工程师提供到当月25日的已完工程量报表、乙购材料清单、材料进场计划、劳动力及用款计划等资料（含工程变更及签证预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7.2.2施工进度计划的修订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发包人和监理人在收到修订的施工进度计划后确认或提出修改意见的期限：</w:t>
      </w:r>
      <w:r>
        <w:rPr>
          <w:rFonts w:ascii="SimSun" w:hAnsi="SimSun" w:eastAsia="SimSun" w:cs="SimSun"/>
          <w:color w:val="000000"/>
          <w:sz w:val="21"/>
          <w:u w:val="single"/>
        </w:rPr>
        <w:t xml:space="preserve">收到后7日内</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7.3开工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7.3.1开工准备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关于承包人提交工程开工报审表的期限：</w:t>
      </w:r>
      <w:r>
        <w:rPr>
          <w:rFonts w:ascii="SimSun" w:hAnsi="SimSun" w:eastAsia="SimSun" w:cs="SimSun"/>
          <w:color w:val="000000"/>
          <w:sz w:val="21"/>
          <w:u w:val="single"/>
        </w:rPr>
        <w:t xml:space="preserve">开工前3天内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关于发包人应完成的其他开工准备工作及期限：</w:t>
      </w:r>
      <w:r>
        <w:rPr>
          <w:rFonts w:ascii="SimSun" w:hAnsi="SimSun" w:eastAsia="SimSun" w:cs="SimSun"/>
          <w:color w:val="000000"/>
          <w:sz w:val="21"/>
          <w:u w:val="single"/>
        </w:rPr>
        <w:t xml:space="preserve">开工前3天内</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关于承包人应完成的其他开工准备工作及期限：</w:t>
      </w:r>
      <w:r>
        <w:rPr>
          <w:rFonts w:ascii="SimSun" w:hAnsi="SimSun" w:eastAsia="SimSun" w:cs="SimSun"/>
          <w:color w:val="000000"/>
          <w:sz w:val="21"/>
          <w:u w:val="single"/>
        </w:rPr>
        <w:t xml:space="preserve">开工前7天内</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7.3.2开工通知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因发包人原因造成监理人未能在计划开工日期之日起</w:t>
      </w:r>
      <w:r>
        <w:rPr>
          <w:rFonts w:ascii="SimSun" w:hAnsi="SimSun" w:eastAsia="SimSun" w:cs="SimSun"/>
          <w:color w:val="000000"/>
          <w:sz w:val="21"/>
          <w:u w:val="single"/>
        </w:rPr>
        <w:t xml:space="preserve"> 180</w:t>
      </w:r>
      <w:r>
        <w:rPr>
          <w:rFonts w:ascii="SimSun" w:hAnsi="SimSun" w:eastAsia="SimSun" w:cs="SimSun"/>
          <w:color w:val="000000"/>
          <w:sz w:val="21"/>
        </w:rPr>
        <w:t xml:space="preserve">天内发出开工通知的，工期顺延，发包人不承担违约责任。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7.4测量放线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7.4.1发包人通过监理人向承包人提供测量基准点、基准线和水准点及其书面资料的期限：承包人进场后开工日期前7天，发包人负责组织，监理单位、承包人参加，向承包人、监理单位移交测量基准点、基准线和水准点及其书面资料。承包人发现发包人提供的测量基准点、基准线和水准点及其书面资料存在错误或疏漏的，应立即通知监理人。监理人应及时报告发包人，并会同发包人和承包人予以核实。</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承包人负责做好保护工作并对其工作失误而造成的事故负赔偿责任。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7.5工期延误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7.5.1因承包人原因导致工期延误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因承包人原因造成工期延误，逾期竣工违约金的计算方法为：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因承包人原因不能按照协议书约定的竣工日期或发包人同意顺延的工期竣工的，承包人承担违约责任。但如果发包人没有明确说明，即使其同意顺延竣工日期，也不当然免除承包人工期延误的违约责任</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当承包人不能按照已批准的进度计划实现节点目标，而又无切实有效措施保证竣工目标，经专家评审确认后，发包人有权将承包人承包范围内的部分工程量进行切割，交由其他单位实施，费用由承包人承担，承包人应无条件服从并给予配合</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工程不能按照进度计划实现节点目标或竣工的，视为承包人违约，承包人须按2000元/天向发包人支付违约金；逾期超过三十日的，发包人有权解除合同，承包人应按发包人要求退场，并承担发包人的实际损失</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因承包人原因造成工期延误，逾期竣工违约金的上限：无上限</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承包人支付逾期竣工违约金后，不免除承包人继续完成工程及修补缺陷的义务</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7.6不利物质条件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不利物质条件的其他情形和有关约定：</w:t>
      </w:r>
      <w:r>
        <w:rPr>
          <w:rFonts w:ascii="SimSun" w:hAnsi="SimSun" w:eastAsia="SimSun" w:cs="SimSun"/>
          <w:color w:val="000000"/>
          <w:sz w:val="21"/>
          <w:u w:val="single"/>
        </w:rPr>
        <w:t xml:space="preserve">承包人对该工程现场条件等，在投标和合同签订前已进行了充分的了解，对工程各方面充分考虑了施工中各种不利因素（包含不限于现场施工地点与当地村民关系的协调），采用克服不利物质条件的合理措施继续施工，在合同工期内完成施工任务</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7.9提前竣工的奖励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7.9.2提前竣工的奖励：</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材料与设备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8.8施工设备和临时设施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8.8.1承包人提供的施工设备和临时设施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关于修建临时设施费用承担的约定：</w:t>
      </w:r>
      <w:r>
        <w:rPr>
          <w:rFonts w:ascii="SimSun" w:hAnsi="SimSun" w:eastAsia="SimSun" w:cs="SimSun"/>
          <w:color w:val="000000"/>
          <w:sz w:val="21"/>
          <w:u w:val="single"/>
        </w:rPr>
        <w:t xml:space="preserve">承包人负责施工临时设施、环保及环卫的相关手续，由承包人办理报批手续，并承担与之相关费用。承包人应按发包人要求成立临时办公地点，为项目监理、审计提供临时办公场所，同时具备召开监理例会条件，费用由施工单位自理，投标时请充分考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9.试验与检验：</w:t>
      </w:r>
      <w:r>
        <w:rPr>
          <w:rFonts w:ascii="SimSun" w:hAnsi="SimSun" w:eastAsia="SimSun" w:cs="SimSun"/>
          <w:color w:val="000000"/>
          <w:sz w:val="21"/>
          <w:u w:val="singl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9.4现场工艺试验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现场工艺试验的有关约定：</w:t>
      </w:r>
      <w:r>
        <w:rPr>
          <w:rFonts w:ascii="SimSun" w:hAnsi="SimSun" w:eastAsia="SimSun" w:cs="SimSun"/>
          <w:color w:val="000000"/>
          <w:sz w:val="21"/>
          <w:u w:val="single"/>
        </w:rPr>
        <w:t xml:space="preserve">根据现场实际施工需求</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10.变更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10.1变更的范围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关于变更的范围的约定：</w:t>
      </w:r>
      <w:r>
        <w:rPr>
          <w:rFonts w:ascii="SimSun" w:hAnsi="SimSun" w:eastAsia="SimSun" w:cs="SimSun"/>
          <w:color w:val="000000"/>
          <w:sz w:val="21"/>
          <w:u w:val="single"/>
        </w:rPr>
        <w:t xml:space="preserve">工程中所有的变更，都必须表达清晰，变更内容应详细，能够说明变更的原因、变更的部位、变更的要求、前后的具体做法，设计单位建议标准等，由原设计单位出具设计变更图或正式通知。对涉及工程质量、进度的设计变更，经发包人工程师及负责人共同签发后方可生效，未经签发的变更不得进行施工并结算。对涉及工程造价的设计变更、材料认质认价，在实施变更前，经发包人审定后实施，未经发包人审定的，结算时一律不予确认。为保证施工质量、安全、方便施工，应由承包人采取的措施而发生的变更，导致工程造价增加，无论是否签证，结算时一律不予确认。现场签</w:t>
      </w:r>
      <w:r>
        <w:rPr>
          <w:rFonts w:ascii="SimSun" w:hAnsi="SimSun" w:eastAsia="SimSun" w:cs="SimSun"/>
          <w:color w:val="000000"/>
          <w:sz w:val="21"/>
          <w:u w:val="single"/>
        </w:rPr>
        <w:t xml:space="preserve">证是指按正常施工方法、施工工艺、施工条件进行施工时，出现的由于地基条件、土质情况或非施工方原因造成的超出合同约定而发生的工程量，并产生了相应费用变化的内容。承包人改变施工工艺、施工机具或按规定属于承包人自行调整的工程量，不予签证。签证必须按专业进行编号，要说明签证的原因，前后的变化及影像资料，实施内容的详细步骤、范围、气候条件、施工方法、工具、时间、地点、尺寸、数量、材料等尽可能详细的内容，并绘制简要图形、附计算式。施工过程中发生的签证，在实施后必须由承包人、监理单位、发包人工程师、跟踪审计单位即时共同计量</w:t>
      </w:r>
      <w:r>
        <w:rPr>
          <w:rFonts w:ascii="SimSun" w:hAnsi="SimSun" w:eastAsia="SimSun" w:cs="SimSun"/>
          <w:color w:val="000000"/>
          <w:sz w:val="21"/>
          <w:u w:val="single"/>
        </w:rPr>
        <w:t xml:space="preserve">、确认，否则结算时不予认可；对涉及工程质量、进度的签证，经发包人工程师及负责人签认同意后方可实施。后期结算单价按投标报价与最高投标限价的下浮率下浮。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10.4变更估价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10.4.1变更估价原则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关于变更估价的约定：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关于变更估价的约定:因工程变更引起已标价工程量清单项目或其工程数量发生变化时，应按照下列规定调整:参见本合同第1.13条的相关约定。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10.5承包人的合理化建议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监理人审查承包人合理化建议的期限：</w:t>
      </w:r>
      <w:r>
        <w:rPr>
          <w:rFonts w:ascii="SimSun" w:hAnsi="SimSun" w:eastAsia="SimSun" w:cs="SimSun"/>
          <w:color w:val="000000"/>
          <w:sz w:val="21"/>
          <w:u w:val="single"/>
        </w:rPr>
        <w:t xml:space="preserve">收到承包人书面合理化建议后7天内</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发包人审批承包人合理化建议的期限：</w:t>
      </w:r>
      <w:r>
        <w:rPr>
          <w:rFonts w:ascii="SimSun" w:hAnsi="SimSun" w:eastAsia="SimSun" w:cs="SimSun"/>
          <w:color w:val="000000"/>
          <w:sz w:val="21"/>
          <w:u w:val="single"/>
        </w:rPr>
        <w:t xml:space="preserve">收到承包人书面合理化建议后7天内</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承包人提出的合理化建议降低了合同价格或者提高了工程经济效益的奖励的方法和金额为：无。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10.7 暂估价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暂估价材料和工程设备的明细详见附件11：《暂估价一览表》。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10.7.1 依法必须招标的暂估价项目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对于依法必须招标的暂估价项目的确认和批准采取以下方式确定。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和承包人与中标人共同签订合同。如承包人不配合发包人共同招标，发包人有权利自行招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10.7.2 不属于依法必须招标的暂估价项目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对于不属于依法必须招标的暂估价项目的确认和批准采取以下方式确定。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不属于依法必须招标的暂估价项目由承包人提出实施计划及价款，报监理、审计、发包人确认后实施。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承包人直接实施的暂估价项目的约定：</w:t>
      </w:r>
      <w:r>
        <w:rPr>
          <w:rFonts w:ascii="SimSun" w:hAnsi="SimSun" w:eastAsia="SimSun" w:cs="SimSun"/>
          <w:color w:val="000000"/>
          <w:sz w:val="21"/>
          <w:u w:val="single"/>
        </w:rPr>
        <w:t xml:space="preserve"> /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10.8 暂列金额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合同当事人关于暂列金额使用的约定：</w:t>
      </w:r>
      <w:r>
        <w:rPr>
          <w:rFonts w:ascii="SimSun" w:hAnsi="SimSun" w:eastAsia="SimSun" w:cs="SimSun"/>
          <w:color w:val="000000"/>
          <w:sz w:val="21"/>
          <w:u w:val="single"/>
        </w:rPr>
        <w:t xml:space="preserve">由发包人结合工程具体情况使用</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11.价格调整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11.1市场价格波动引起的调整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市场价格波动是否调整合同价格的约定：不做</w:t>
      </w:r>
      <w:r>
        <w:rPr>
          <w:rFonts w:ascii="SimSun" w:hAnsi="SimSun" w:eastAsia="SimSun" w:cs="SimSun"/>
          <w:color w:val="000000"/>
          <w:sz w:val="21"/>
          <w:u w:val="single"/>
        </w:rPr>
        <w:t xml:space="preserve">调整</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12.合同价格、计量与支付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12.1合同价格形式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工程采用综合单价计价，综合单价包括人工费、材料费、机械费、管理费、利润、约定范围的风险费用。承包人应根据招标文件要求及充分踏勘施工现场条件，在投标报价时应充分考虑施工期间各类人工、材料、机械的市场风险及承包人约定的风险范围内（风险范围见施工合同专用条款，下同）的风险费用等计入报价，结算时综合单价在承包人风险约定范围内不再调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综合单价包含的风险范围：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风险：1．各类人工、材料、机械的市场风险；2．为完成本工程所承担的施工期间除不可抗力、发包人风险以外的其他一切风险。3．实行政府定价管理的水、电、燃油、燃气材料价格调整。4．省级或行业建设主管部门发布的人工费调整。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发包人风险：除承包人风险外的国家法律、法规、规章和政策发生变化；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风险费用的计算方法：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承包人投标时应自行充分考虑风险，除不可抗力及发包人风险外，今后不作调整。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风险范围以外合同价格的调整方法：参见本合同第1.13条的相关约定。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2、总价合同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总价包含的风险范围：</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风险费用的计算方法：</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风险范围以外合同价格的调整方法：</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其他价格方式：</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12.2预付款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12.2.1预付款的支付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预付款支付比例或金额：</w:t>
      </w:r>
      <w:r>
        <w:rPr>
          <w:rFonts w:ascii="SimSun" w:hAnsi="SimSun" w:eastAsia="SimSun" w:cs="SimSun"/>
          <w:color w:val="000000"/>
          <w:sz w:val="21"/>
          <w:u w:val="single"/>
        </w:rPr>
        <w:t xml:space="preserve">预付款担保经发包人核验真实有效后，预付款为合同价款的10%。预付款付款方式：转账</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预付款支付期限：</w:t>
      </w:r>
      <w:r>
        <w:rPr>
          <w:rFonts w:ascii="SimSun" w:hAnsi="SimSun" w:eastAsia="SimSun" w:cs="SimSun"/>
          <w:color w:val="000000"/>
          <w:sz w:val="21"/>
          <w:u w:val="single"/>
        </w:rPr>
        <w:t xml:space="preserve">合同签订、承包人进场后、具备开工条件前且履约担保及预付款担保经发包人核验真实有效后支付</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预付款扣回的方式：</w:t>
      </w:r>
      <w:r>
        <w:rPr>
          <w:rFonts w:ascii="SimSun" w:hAnsi="SimSun" w:eastAsia="SimSun" w:cs="SimSun"/>
          <w:color w:val="000000"/>
          <w:sz w:val="21"/>
          <w:u w:val="single"/>
        </w:rPr>
        <w:t xml:space="preserve">预付款在首次进度款支付时全额扣回</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12.2.2预付款担保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承包人提交预付款担保的期限：</w:t>
      </w:r>
      <w:r>
        <w:rPr>
          <w:rFonts w:ascii="SimSun" w:hAnsi="SimSun" w:eastAsia="SimSun" w:cs="SimSun"/>
          <w:color w:val="000000"/>
          <w:sz w:val="21"/>
          <w:u w:val="single"/>
        </w:rPr>
        <w:t xml:space="preserve">合同签订、承包人进场后、具备开工条件前</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预付款担保的形式为：</w:t>
      </w:r>
      <w:r>
        <w:rPr>
          <w:rFonts w:ascii="SimSun" w:hAnsi="SimSun" w:eastAsia="SimSun" w:cs="SimSun"/>
          <w:color w:val="000000"/>
          <w:sz w:val="21"/>
          <w:u w:val="single"/>
        </w:rPr>
        <w:t xml:space="preserve">银行保函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12.3计量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12.3.1计量原则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工程量计算规则：</w:t>
      </w:r>
      <w:r>
        <w:rPr>
          <w:rFonts w:ascii="SimSun" w:hAnsi="SimSun" w:eastAsia="SimSun" w:cs="SimSun"/>
          <w:color w:val="000000"/>
          <w:sz w:val="21"/>
          <w:u w:val="single"/>
        </w:rPr>
        <w:t xml:space="preserve">工程量计算规则执行国家标准《建设工程工程量清单计价规范》(GB50500-2013)、现行计价定额及相关图集；承包人实际完成的工程量按约定的工程量计算规则和有合同约束力的图纸进行计量</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12.3.2计量周期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关于计量周期的约定：</w:t>
      </w:r>
      <w:r>
        <w:rPr>
          <w:rFonts w:ascii="SimSun" w:hAnsi="SimSun" w:eastAsia="SimSun" w:cs="SimSun"/>
          <w:color w:val="000000"/>
          <w:sz w:val="21"/>
          <w:u w:val="single"/>
        </w:rPr>
        <w:t xml:space="preserve">承包人应按周及时编报分部分项工程量，工程竣工后承包人应组织相关工程技术管理人员编制工程结算书，并在工程竣工后60天内完成竣工结算编报工作；若承包人未按要求完成该部分工作，视为违约，违约金为施工合同总价的1%，由承包人在决算价款中向发包人支付</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12.3.3单价合同的计量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关于单价合同计量的约定：</w:t>
      </w:r>
      <w:r>
        <w:rPr>
          <w:rFonts w:ascii="SimSun" w:hAnsi="SimSun" w:eastAsia="SimSun" w:cs="SimSun"/>
          <w:color w:val="000000"/>
          <w:sz w:val="21"/>
          <w:u w:val="single"/>
        </w:rPr>
        <w:t xml:space="preserve"> 执行通用条款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12.3.4总价合同的计量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关于总价合同计量的约定：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12.3.5总价合同采用支付分解表计量支付的，是否适用第12.3.4项〔总价合同的计量〕约定进行计量：</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12.3.6其他价格形式合同的计量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其他价格形式的计量方式和程序：</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12.4工程进度款支付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12.4.1付款周期</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关于付款周期的约定：</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合同签订后，发包人向承包人支付签约合同价款10%的预付款，全部工程完工经建设单位等相关单位初步验收合格后付至已完成合格工程量价款的80%，竣工验收合格且工程审计结算完成后付至审计价的97%，余款3%作为工程质量保修金，待缺陷责任期满后付清（无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注：对满足合同约定支付条件的项目自收到发票后10个工作日内将资金支付到约定的承包人账户(以发票开具日期计算）。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（2）工程施工进行中每笔工程付款承包人必须按照税法规定的税目税率开具符合发包人要求的增值税专用发票，税率为9%（不含税合同总价不变，税率随国家税法变动而变动），否则不予付款。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承包人必须保证施工期间的民工工资发放，每次支付工程进度款时必须在上报已完工程量的报告中单列人工费，并办理已支付民工工资相关确认手续。若出现拖欠民工工资发包人有权从工程进度款扣除拖欠的民工工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（4）承包人应给予发包人必要的工程款支付期限，以便发包人办理支付申请手续。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（5）承包人不得因发包人延期支付进度款而停工。延期支付进度款不计算利息。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12.4.2进度付款申请单的编制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关于进度付款申请单编制的约定：</w:t>
      </w:r>
      <w:r>
        <w:rPr>
          <w:rFonts w:ascii="SimSun" w:hAnsi="SimSun" w:eastAsia="SimSun" w:cs="SimSun"/>
          <w:color w:val="000000"/>
          <w:sz w:val="21"/>
          <w:u w:val="single"/>
        </w:rPr>
        <w:t xml:space="preserve"> 按发包人规定的工作流程及要求执行</w:t>
      </w: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12.4.3进度付款申请单的提交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(1)单价合同进度付款申请单提交的约定：</w:t>
      </w:r>
      <w:r>
        <w:rPr>
          <w:rFonts w:ascii="SimSun" w:hAnsi="SimSun" w:eastAsia="SimSun" w:cs="SimSun"/>
          <w:color w:val="000000"/>
          <w:sz w:val="21"/>
          <w:u w:val="single"/>
        </w:rPr>
        <w:t xml:space="preserve">承包人应按当月实际进度在每月25日前向监理工程师报送月度已完工且验收合格工程的工程款支付报审表及相关资料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(2)总价合同进度付款申请单提交的约定：</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(3)其他价格形式合同进度付款申请单提交的约定：</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12.4.4进度款审核和支付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(1)监理人审查并报送发包人的期限： 收到承包人提交资料后7天内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发包人完成审批并签发进度款支付证书的期限：收到承包人提交资料后7天内；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(2)发包人支付进度款的期限： 按资金到位情况拨付；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发包人逾期支付进度款的违约金的计算方式： 无。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12.4.6支付分解表的编制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2、总价合同支付分解表的编制与审批： /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3、单价合同的总价项目支付分解表的编制与审批：执行通用条款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13.验收和工程试车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13.1分部分项工程验收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13.1.2监理人不能按时进行验收时，应提前</w:t>
      </w:r>
      <w:r>
        <w:rPr>
          <w:rFonts w:ascii="SimSun" w:hAnsi="SimSun" w:eastAsia="SimSun" w:cs="SimSun"/>
          <w:color w:val="000000"/>
          <w:sz w:val="21"/>
          <w:u w:val="single"/>
        </w:rPr>
        <w:t xml:space="preserve"> 24 </w:t>
      </w:r>
      <w:r>
        <w:rPr>
          <w:rFonts w:ascii="SimSun" w:hAnsi="SimSun" w:eastAsia="SimSun" w:cs="SimSun"/>
          <w:color w:val="000000"/>
          <w:sz w:val="21"/>
        </w:rPr>
        <w:t xml:space="preserve">小时提交书面延期要求。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关于延期最长不得超过：</w:t>
      </w:r>
      <w:r>
        <w:rPr>
          <w:rFonts w:ascii="SimSun" w:hAnsi="SimSun" w:eastAsia="SimSun" w:cs="SimSun"/>
          <w:color w:val="000000"/>
          <w:sz w:val="21"/>
          <w:u w:val="single"/>
        </w:rPr>
        <w:t xml:space="preserve">48</w:t>
      </w:r>
      <w:r>
        <w:rPr>
          <w:rFonts w:ascii="SimSun" w:hAnsi="SimSun" w:eastAsia="SimSun" w:cs="SimSun"/>
          <w:color w:val="000000"/>
          <w:sz w:val="21"/>
        </w:rPr>
        <w:t xml:space="preserve">小时。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13.2竣工验收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13.2.2竣工验收程序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关于竣工验收程序的约定：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（3）竣工验收合格的，发包人应在验收合格后28天内向承包人签发工程接收证书。发包人无正当理由逾期不颁发工程接收证书的，自验收合格后第29天起视为已颁发工程接收证书。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（5）工程未经验收或验收不合格，发包人擅自使用的，应在转移占有工程后28天内向承包人颁发工程接收证书；发包人无正当理由逾期不颁发工程接收证书的，自转移占有后第29天起视为已颁发工程接收证书。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发包人未按照本项约定组织竣工验收、颁发工程接收证书的违约金的计算方法：</w:t>
      </w:r>
      <w:r>
        <w:rPr>
          <w:rFonts w:ascii="SimSun" w:hAnsi="SimSun" w:eastAsia="SimSun" w:cs="SimSun"/>
          <w:color w:val="000000"/>
          <w:sz w:val="21"/>
          <w:u w:val="single"/>
        </w:rPr>
        <w:t xml:space="preserve">不计取，违约金为零</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13.2.5移交、接收全部与部分工程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承包人向发包人移交工程的期限：</w:t>
      </w:r>
      <w:r>
        <w:rPr>
          <w:rFonts w:ascii="SimSun" w:hAnsi="SimSun" w:eastAsia="SimSun" w:cs="SimSun"/>
          <w:color w:val="000000"/>
          <w:sz w:val="21"/>
          <w:u w:val="single"/>
        </w:rPr>
        <w:t xml:space="preserve">执行通用条款</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发包人未按本合同约定接收全部或部分工程的，违约金的计算方法为：</w:t>
      </w:r>
      <w:r>
        <w:rPr>
          <w:rFonts w:ascii="SimSun" w:hAnsi="SimSun" w:eastAsia="SimSun" w:cs="SimSun"/>
          <w:color w:val="000000"/>
          <w:sz w:val="21"/>
          <w:u w:val="single"/>
        </w:rPr>
        <w:t xml:space="preserve">不计取，违约金为零</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承包人未按时移交工程的，违约金的计算方法为：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如承包人不能按规定上报竣工资料及竣工验收报告，承包人需向发包人支付3000元/天的违约金，违约金最高限额不超过合同价2%。违约金从工程竣工结算款中扣除</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13.3工程试车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13.3.1试车程序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工程试车内容：/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(1)单机无负荷试车费用由 / 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(2)无负荷联动试车费用由/承担。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13.3.3投料试车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关于投料试车相关事项的约定：/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13.6竣工退场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13.6.1竣工退场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承包人完成竣工退场的期限：</w:t>
      </w:r>
      <w:r>
        <w:rPr>
          <w:rFonts w:ascii="SimSun" w:hAnsi="SimSun" w:eastAsia="SimSun" w:cs="SimSun"/>
          <w:color w:val="000000"/>
          <w:sz w:val="21"/>
          <w:u w:val="single"/>
        </w:rPr>
        <w:t xml:space="preserve">工程竣工验收后，施工单位的施工人员、材料、设备必须在7天内全部退出现场</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14.竣工结算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竣工结算申请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承包人提交竣工结算申请单的期限：</w:t>
      </w:r>
      <w:r>
        <w:rPr>
          <w:rFonts w:ascii="SimSun" w:hAnsi="SimSun" w:eastAsia="SimSun" w:cs="SimSun"/>
          <w:color w:val="000000"/>
          <w:sz w:val="21"/>
          <w:u w:val="single"/>
        </w:rPr>
        <w:t xml:space="preserve">执行通用条款</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竣工结算申请单应包括的内容：招标文件及招标答疑、工程量清单、最高投标限价、投标文件、中标通知书、施工合同及补充协议、工程质量验收资料（包含不限于原材料进场验收、重要施工工序节点验收、隐蔽工程验收）、竣工验收证明、竣工图、竣工结算书（工程量计算书、钢筋配料单）、图纸会审记录、经监理（发包人）审批的施工方案、工期提前或延误资料、地质勘探资料、设计单位出具的设计变更图纸、 施工现场签证单、建设单位对材料暂估价的认价单、其他相关资料</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（1）工程结算时，施工单位应本着诚实守信的原则如实申报工程结算价</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（2）对施工单位申报的工程结算价，经评审核减率大于5%时，超出部分的审计费用由施工单位支付。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（3）对施工单位申报的工程结算价，经评审核减额超出申报结算价5%的，施工单位按照核减金额的2%向建设单位支付违约金，并由建设单位从工程结算价款中直接扣除</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竣工结算审核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发包人审批竣工付款申请单的期限：</w:t>
      </w:r>
      <w:r>
        <w:rPr>
          <w:rFonts w:ascii="SimSun" w:hAnsi="SimSun" w:eastAsia="SimSun" w:cs="SimSun"/>
          <w:color w:val="000000"/>
          <w:sz w:val="21"/>
          <w:u w:val="single"/>
        </w:rPr>
        <w:t xml:space="preserve">发包人应自收到承包人提交的竣工结算报告和完整的竣工结算资料之日起 3个月内审计完毕，具体实施按照发包人的工作流程及要求执行</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发包人完成竣工付款的期限：</w:t>
      </w:r>
      <w:r>
        <w:rPr>
          <w:rFonts w:ascii="SimSun" w:hAnsi="SimSun" w:eastAsia="SimSun" w:cs="SimSun"/>
          <w:color w:val="000000"/>
          <w:sz w:val="21"/>
          <w:u w:val="single"/>
        </w:rPr>
        <w:t xml:space="preserve">具体实施按照发包人的工作流程及要求执行</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关于竣工付款证书异议部分复核的方式和程序：</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14.4最终结清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14.4.1最终结清申请单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承包人提交最终结清申请单的份数：</w:t>
      </w:r>
      <w:r>
        <w:rPr>
          <w:rFonts w:ascii="SimSun" w:hAnsi="SimSun" w:eastAsia="SimSun" w:cs="SimSun"/>
          <w:color w:val="000000"/>
          <w:sz w:val="21"/>
          <w:u w:val="single"/>
        </w:rPr>
        <w:t xml:space="preserve">按发包人要求执行</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承包人提交最终结算申请单的期限：</w:t>
      </w:r>
      <w:r>
        <w:rPr>
          <w:rFonts w:ascii="SimSun" w:hAnsi="SimSun" w:eastAsia="SimSun" w:cs="SimSun"/>
          <w:color w:val="000000"/>
          <w:sz w:val="21"/>
          <w:u w:val="single"/>
        </w:rPr>
        <w:t xml:space="preserve">缺陷责任期满后7天内</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14.4.2最终结清证书和支付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(1)发包人完成最终结清申请单的审批并颁发最终结清证书的期限：</w:t>
      </w:r>
      <w:r>
        <w:rPr>
          <w:rFonts w:ascii="SimSun" w:hAnsi="SimSun" w:eastAsia="SimSun" w:cs="SimSun"/>
          <w:color w:val="000000"/>
          <w:sz w:val="21"/>
          <w:u w:val="single"/>
        </w:rPr>
        <w:t xml:space="preserve">按发包人工作流程</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(2)发包人完成支付的期限：</w:t>
      </w:r>
      <w:r>
        <w:rPr>
          <w:rFonts w:ascii="SimSun" w:hAnsi="SimSun" w:eastAsia="SimSun" w:cs="SimSun"/>
          <w:color w:val="000000"/>
          <w:sz w:val="21"/>
          <w:u w:val="single"/>
        </w:rPr>
        <w:t xml:space="preserve">颁发最终结清证书后28天内完成支付，双方协商延期支付时间，不计取违约金</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15.缺陷责任期与保修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15.2缺陷责任期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缺陷责任期的具体期限：</w:t>
      </w:r>
      <w:r>
        <w:rPr>
          <w:rFonts w:ascii="SimSun" w:hAnsi="SimSun" w:eastAsia="SimSun" w:cs="SimSun"/>
          <w:color w:val="000000"/>
          <w:sz w:val="21"/>
          <w:u w:val="single"/>
        </w:rPr>
        <w:t xml:space="preserve">24个月</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15.3质量保证金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关于是否扣留质量保证金的约定：</w:t>
      </w:r>
      <w:r>
        <w:rPr>
          <w:rFonts w:ascii="SimSun" w:hAnsi="SimSun" w:eastAsia="SimSun" w:cs="SimSun"/>
          <w:color w:val="000000"/>
          <w:sz w:val="21"/>
          <w:u w:val="single"/>
        </w:rPr>
        <w:t xml:space="preserve">扣留</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15.3.1承包人提供质量保证金的方式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质量保证金采用以下第</w:t>
      </w:r>
      <w:r>
        <w:rPr>
          <w:rFonts w:ascii="SimSun" w:hAnsi="SimSun" w:eastAsia="SimSun" w:cs="SimSun"/>
          <w:color w:val="000000"/>
          <w:sz w:val="21"/>
          <w:u w:val="single"/>
        </w:rPr>
        <w:t xml:space="preserve">（3）</w:t>
      </w:r>
      <w:r>
        <w:rPr>
          <w:rFonts w:ascii="SimSun" w:hAnsi="SimSun" w:eastAsia="SimSun" w:cs="SimSun"/>
          <w:color w:val="000000"/>
          <w:sz w:val="21"/>
        </w:rPr>
        <w:t xml:space="preserve">种方式：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(1)质量保证金保函，保证金额为：</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1"/>
          <w:u w:val="single"/>
        </w:rPr>
        <w:t xml:space="preserve"> / </w:t>
      </w:r>
      <w:r>
        <w:rPr>
          <w:rFonts w:ascii="SimSun" w:hAnsi="SimSun" w:eastAsia="SimSun" w:cs="SimSun"/>
          <w:color w:val="000000"/>
          <w:sz w:val="21"/>
        </w:rPr>
        <w:t xml:space="preserve">%的工程款；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(3)其他方式：</w:t>
      </w:r>
      <w:r>
        <w:rPr>
          <w:rFonts w:ascii="SimSun" w:hAnsi="SimSun" w:eastAsia="SimSun" w:cs="SimSun"/>
          <w:color w:val="000000"/>
          <w:sz w:val="21"/>
          <w:u w:val="single"/>
        </w:rPr>
        <w:t xml:space="preserve">  3 %的工程审计价款</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15.3.2质量保证金的扣留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质量保证金的扣留采取以下第</w:t>
      </w:r>
      <w:r>
        <w:rPr>
          <w:rFonts w:ascii="SimSun" w:hAnsi="SimSun" w:eastAsia="SimSun" w:cs="SimSun"/>
          <w:color w:val="000000"/>
          <w:sz w:val="21"/>
          <w:u w:val="single"/>
        </w:rPr>
        <w:t xml:space="preserve"> （2） </w:t>
      </w:r>
      <w:r>
        <w:rPr>
          <w:rFonts w:ascii="SimSun" w:hAnsi="SimSun" w:eastAsia="SimSun" w:cs="SimSun"/>
          <w:color w:val="000000"/>
          <w:sz w:val="21"/>
        </w:rPr>
        <w:t xml:space="preserve">种方式：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(1)在支付工程进度款时逐次扣留，在此情形下，质量保证金的计算基数不包括预付款的支付、扣回以及价格调整的金额；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(2)工程竣工结算时一次性扣留质量保证金；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(3)其他扣留方式：</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关于质量保证金的补充约定：</w:t>
      </w:r>
      <w:r>
        <w:rPr>
          <w:rFonts w:ascii="SimSun" w:hAnsi="SimSun" w:eastAsia="SimSun" w:cs="SimSun"/>
          <w:color w:val="000000"/>
          <w:sz w:val="21"/>
          <w:u w:val="single"/>
        </w:rPr>
        <w:t xml:space="preserve">/</w:t>
      </w: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15.4保修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15.4.1保修责任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工程保修期为：</w:t>
      </w:r>
      <w:r>
        <w:rPr>
          <w:rFonts w:ascii="SimSun" w:hAnsi="SimSun" w:eastAsia="SimSun" w:cs="SimSun"/>
          <w:color w:val="000000"/>
          <w:sz w:val="21"/>
          <w:u w:val="single"/>
        </w:rPr>
        <w:t xml:space="preserve">详见附件《工程质量保修书》</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15.4.3修复通知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承包人收到保修通知并到达工程现场的合理时间：</w:t>
      </w:r>
      <w:r>
        <w:rPr>
          <w:rFonts w:ascii="SimSun" w:hAnsi="SimSun" w:eastAsia="SimSun" w:cs="SimSun"/>
          <w:color w:val="000000"/>
          <w:sz w:val="21"/>
          <w:u w:val="single"/>
        </w:rPr>
        <w:t xml:space="preserve">2小时</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16.违约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16.1发包人违约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16.1.1发包人违约的情形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发包人违约的其他情形：</w:t>
      </w:r>
      <w:r>
        <w:rPr>
          <w:rFonts w:ascii="SimSun" w:hAnsi="SimSun" w:eastAsia="SimSun" w:cs="SimSun"/>
          <w:color w:val="000000"/>
          <w:sz w:val="21"/>
          <w:u w:val="single"/>
        </w:rPr>
        <w:t xml:space="preserve"> 无</w:t>
      </w: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16.1.2发包人违约的责任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发包人违约责任的承担方式和计算方法：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（1）因发包人原因未能在计划开工日期前7天内下达开工通知的违约责任：</w:t>
      </w:r>
      <w:r>
        <w:rPr>
          <w:rFonts w:ascii="SimSun" w:hAnsi="SimSun" w:eastAsia="SimSun" w:cs="SimSun"/>
          <w:color w:val="000000"/>
          <w:sz w:val="21"/>
          <w:u w:val="single"/>
        </w:rPr>
        <w:t xml:space="preserve">由承包人书面提出，并有监理工程师和甲方派驻现场工程师核实确认后，顺延工期，不补偿任何费用</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（2）因发包人原因未能按合同约定支付合同价款的违约责任：</w:t>
      </w:r>
      <w:r>
        <w:rPr>
          <w:rFonts w:ascii="SimSun" w:hAnsi="SimSun" w:eastAsia="SimSun" w:cs="SimSun"/>
          <w:color w:val="000000"/>
          <w:sz w:val="21"/>
          <w:u w:val="single"/>
        </w:rPr>
        <w:t xml:space="preserve">不补偿任何费用</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（3）发包人违反第10.1款〔变更的范围〕第（2）项约定，自行实施被取消的工作或转由他人实施的违约责任：</w:t>
      </w:r>
      <w:r>
        <w:rPr>
          <w:rFonts w:ascii="SimSun" w:hAnsi="SimSun" w:eastAsia="SimSun" w:cs="SimSun"/>
          <w:color w:val="000000"/>
          <w:sz w:val="21"/>
          <w:u w:val="single"/>
        </w:rPr>
        <w:t xml:space="preserve">不补偿任何费用</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（4）发包人提供的材料、工程设备的规格、数量或质量不符合合同约定，或因发包人原因导致交货日期延误或交货地点变更等情况的违约责任：</w:t>
      </w:r>
      <w:r>
        <w:rPr>
          <w:rFonts w:ascii="SimSun" w:hAnsi="SimSun" w:eastAsia="SimSun" w:cs="SimSun"/>
          <w:color w:val="000000"/>
          <w:sz w:val="21"/>
          <w:u w:val="single"/>
        </w:rPr>
        <w:t xml:space="preserve">由承包人书面提出，并有监理工程师和甲方派驻现场工程师核实确认后，顺延工期，不补偿任何费用</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（5）因发包人违反合同约定造成暂停施工的违约责任：</w:t>
      </w:r>
      <w:r>
        <w:rPr>
          <w:rFonts w:ascii="SimSun" w:hAnsi="SimSun" w:eastAsia="SimSun" w:cs="SimSun"/>
          <w:color w:val="000000"/>
          <w:sz w:val="21"/>
          <w:u w:val="single"/>
        </w:rPr>
        <w:t xml:space="preserve">由承包人书面提出，并有监理工程师和甲方派驻现场工程师核实确认后，可酌情延长工期，不补偿任何费用</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（6）发包人无正当理由没有在约定期限内发出复工指示，导致承包人无法复工的违约责任：</w:t>
      </w:r>
      <w:r>
        <w:rPr>
          <w:rFonts w:ascii="SimSun" w:hAnsi="SimSun" w:eastAsia="SimSun" w:cs="SimSun"/>
          <w:color w:val="000000"/>
          <w:sz w:val="21"/>
          <w:u w:val="single"/>
        </w:rPr>
        <w:t xml:space="preserve">由承包人书面提出，并有监理工程师和建设单位代表书面确认后，可酌情延长工期，不补偿任何费用</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（7）其他：</w:t>
      </w:r>
      <w:r>
        <w:rPr>
          <w:rFonts w:ascii="SimSun" w:hAnsi="SimSun" w:eastAsia="SimSun" w:cs="SimSun"/>
          <w:color w:val="000000"/>
          <w:sz w:val="21"/>
          <w:u w:val="single"/>
        </w:rPr>
        <w:t xml:space="preserve">因征地拆迁、管线入地改造等或其他不可抗拒因素导致工期延误的，工期顺延，发包人不承担违约责任。造成工程无法继续实施的或因工程调整的，发包人可根据已完成实际工程量要求竣工结算，发包人不承担违约责任，不补偿任何费用</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16.1.3因发包人违约解除合同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承包人按16.1.1项〔发包人违约的情形〕约定暂停施工满</w:t>
      </w:r>
      <w:r>
        <w:rPr>
          <w:rFonts w:ascii="SimSun" w:hAnsi="SimSun" w:eastAsia="SimSun" w:cs="SimSun"/>
          <w:color w:val="000000"/>
          <w:sz w:val="21"/>
          <w:u w:val="single"/>
        </w:rPr>
        <w:t xml:space="preserve"> 60 </w:t>
      </w:r>
      <w:r>
        <w:rPr>
          <w:rFonts w:ascii="SimSun" w:hAnsi="SimSun" w:eastAsia="SimSun" w:cs="SimSun"/>
          <w:color w:val="000000"/>
          <w:sz w:val="21"/>
        </w:rPr>
        <w:t xml:space="preserve">天后发包人仍不纠正其违约行为并致使合同目的不能实现的，承包人有权解除合同。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16.2承包人违约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16.2.1承包人违约的情形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承包人违约的其他情形：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 因承包人安全文明措施不到位的或未按规定实施的；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 若因承包人原因，导致周边住户和单位投诉或新闻媒体负面曝光；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 承包人不能按规定上报竣工结算；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 因承包人原因发生保险事故给发包人造成影响的；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(5) 承包人其他违约情形。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除上述违约责任外，承包人有违反本合同其他任一之约定的，除应改正外，还应向发包人支付违约金5万元，拒不改正的，发包人还有权解除本合同，因此造成损失的，由承包人承担</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16.2.2承包人违约的责任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承包人违约责任的承担方式和计算方法：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(1)承包人违反合同约定进行转包或违法分包的：按合同价的10%进行处罚，并从工程款中直接扣除，经发包人要求仍未整改到位或情节严重的清除出场；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(2)承包人违反合同约定采购和使用不合格的材料和工程设备的（或未按承包人承诺品牌进行采购的）：按发包人要求进行整改，并按材料和工程设备价款的20%进行处罚，并从工程款中直接扣除；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(3)因承包人原因导致工程质量不符合合同要求的：限期整改，工期不延长；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(4)承包人违反第8.9款〔材料与设备专用要求〕的约定，未经批准，私自将已按照合同约定进入施工现场的材料或设备撤离施工现场的：限期整改，工期不延长；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承包人在缺陷责任期及保修期内，未能在合理期限对工程缺陷进行修复，或拒绝按发包人要求进行修复的：发包人可委托其他人员修理，保修费用从质量保修金内扣除，如保修费用超过质量保证金，发包人有权向承包人进行追偿，承包人不得就维修费用提出任何异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承包人明确表示或者以其行为表明不履行合同主要义务的：清除出场，扣除履约保证金；如履约保证金不足，发包人有权从已完成工程价款中扣除；发包人有损失的，发包人有权要求承包人进行赔偿，并上报建设主管部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因承包人安全文明措施不到位的或未按规定实施的，在接到发包人通知（包含相关网络工作群）后3天内未按通知要求整改的，承包人须按5000元/次向发包人支付违约金，费用在承包人履约担保金中扣除。同时发包人有权另行安排他人完成，费用在承包人工程款中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(8)若因承包人原因，导致周边住户和单位投诉或新闻媒体负面曝光的，承包人需承担由此产生的一切后果和费用。每曝光一次承包人需向发包人支付10000元的违约金。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(9)如承包人不能按规定上报竣工结算，承包人需向发包人支付10000元/天的违约金。违约金从工程竣工结算款中扣除。相关条款涉及的费用除已明确由发包人承担的，均已包含在承包人的总价中。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(10)如因承包人原因发生保险事故给发包人造成影响的，承包人承担违约责任，需向发包人支付保险赔付金20％的违约金。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施工过程中关于扬尘污染防治问题遭到新闻媒体负面曝光的承包人需承担由此产生的一切后果和费用，每曝光一次承包人需向发包人支付10000元的违约金；因扬尘污染防治问题受到有关行政部门处罚的承包人需承担由此产生的一切后果和费用，每处罚一次承包人需向发包人支付20000元的违约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(12)对严重违约需清除出场的承包人，发包人将其情况书面报告当地及企业所在地建设行政主管部门，向承包人书面提出限期清场的要求并登报公示。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施工合同签订后，承包人未按发包人书面通知期限进场，未按合同要求组建项目部并完成施工前期准备，每延期1天，承包人需向发包人支付10000元/天的违约金，并从工程款中直接扣除。延期超过10天的，发包人有权解除合同并清除出场，扣除履约保证金，发包人有损失的，发包人有权要求承包人进行赔偿，并上报建设主管部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16.2.3因承包人违约解除合同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关于承包人违约解除合同的特别约定：</w:t>
      </w:r>
      <w:r>
        <w:rPr>
          <w:rFonts w:ascii="SimSun" w:hAnsi="SimSun" w:eastAsia="SimSun" w:cs="SimSun"/>
          <w:color w:val="000000"/>
          <w:sz w:val="21"/>
          <w:u w:val="single"/>
        </w:rPr>
        <w:t xml:space="preserve">执行通用条款</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发包人继续使用承包人在施工现场的材料、设备、临时工程、承包人文件和由承包人或以其名义编制的其他文件的费用承担方式：</w:t>
      </w:r>
      <w:r>
        <w:rPr>
          <w:rFonts w:ascii="SimSun" w:hAnsi="SimSun" w:eastAsia="SimSun" w:cs="SimSun"/>
          <w:color w:val="000000"/>
          <w:sz w:val="21"/>
          <w:u w:val="single"/>
        </w:rPr>
        <w:t xml:space="preserve">发包人有权无偿使用。发包人继续使用的行为不免除或减轻承包人应承担的违约责任</w:t>
      </w:r>
      <w:r>
        <w:rPr>
          <w:rFonts w:ascii="SimSun" w:hAnsi="SimSun" w:eastAsia="SimSun" w:cs="SimSun"/>
          <w:color w:val="000000"/>
          <w:sz w:val="21"/>
        </w:rPr>
        <w:t xml:space="preserve">。</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签订合同后被发现存在出借（挂靠）资质的行为，愿意无条件接受被取消中标（承包）资格、投标保证金不予退还、履约保证金不予退还、合同解除及清除出场，一切损失自行承担。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17.不可抗力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17.1不可抗力的确认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除通用合同条款约定的不可抗力事件之外，视为不可抗力的其他情形：</w:t>
      </w:r>
      <w:r>
        <w:rPr>
          <w:rFonts w:ascii="SimSun" w:hAnsi="SimSun" w:eastAsia="SimSun" w:cs="SimSun"/>
          <w:color w:val="000000"/>
          <w:sz w:val="21"/>
          <w:u w:val="single"/>
        </w:rPr>
        <w:t xml:space="preserve">战争、动乱、空中飞行物体坠落以及洪水、地震、重大疫情等</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17.2因不可抗力解除合同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合同解除后，发包人应在商定或确定发包人应支付款项后</w:t>
      </w:r>
      <w:r>
        <w:rPr>
          <w:rFonts w:ascii="SimSun" w:hAnsi="SimSun" w:eastAsia="SimSun" w:cs="SimSun"/>
          <w:color w:val="000000"/>
          <w:sz w:val="21"/>
          <w:u w:val="single"/>
        </w:rPr>
        <w:t xml:space="preserve">  /  </w:t>
      </w:r>
      <w:r>
        <w:rPr>
          <w:rFonts w:ascii="SimSun" w:hAnsi="SimSun" w:eastAsia="SimSun" w:cs="SimSun"/>
          <w:color w:val="000000"/>
          <w:sz w:val="21"/>
        </w:rPr>
        <w:t xml:space="preserve">天内完成款项的支付。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18.保险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 工程保险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工程保险的特别约定：工程事故保险，执行江苏省建筑市场管理条例第十八条规定，一切事故均与发包方无关。建筑工程一切险由承包人办理，以承包人与发包人名义联名投保，投保条件与保险费率由承包人根据江苏省保险行业协会有关工程保险的相关规定自行考虑，该项费用含在合同价中。</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第三者责任险由承包人办理，以承包人与发包人名义联名投保，投保条件与保险费率由承包人根据江苏省保险行业协会有关工程保险的相关规定自行考虑，该项费用含在合同价中。</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承包人应在签订合同 30 日内向发包人提交各项保险生效的证据和保险单副本、发票等全套文件资料，未提供上述文件资料的，发包人有权在工程款支付时扣除合同价款的 0.2%；因为承包人延迟办理或未办理相关保险，发包人可责令承包人在七日内按要求办理，并有权在工程款支付时扣除合同价款 2%的违约金。因延迟办理或未办理相关保险所引起的一切后果、责任由承包人自行承担，给发包人造成损失的，发包人有权向承包人追偿，相关金额发包人可从未支付工程款中自行扣除。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18.3 其他保险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关于其他保险的约定：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（1）保险合同需经发包人审批。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（2）保险事故发生时，承包人有责任尽力采取必要的措施，防止或者减少损失。</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（3）如发生保险事故时，承包人应负责向保险公司索赔及办理赔付事宜。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（4）合同生效后，承包人必须在工程开工前办理保险，如承包人未办理保险的，发包人有权从工程进度款中扣除此工程保险费用，直接选择保险人。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承包人是否应为其施工设备等办理财产保险：</w:t>
      </w:r>
      <w:r>
        <w:rPr>
          <w:rFonts w:ascii="SimSun" w:hAnsi="SimSun" w:eastAsia="SimSun" w:cs="SimSun"/>
          <w:color w:val="000000"/>
          <w:sz w:val="21"/>
          <w:u w:val="single"/>
        </w:rPr>
        <w:t xml:space="preserve">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18.7 通知义务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关于变更保险合同时的通知义务的约定：</w:t>
      </w:r>
      <w:r>
        <w:rPr>
          <w:rFonts w:ascii="SimSun" w:hAnsi="SimSun" w:eastAsia="SimSun" w:cs="SimSun"/>
          <w:color w:val="000000"/>
          <w:sz w:val="21"/>
          <w:u w:val="single"/>
        </w:rPr>
        <w:t xml:space="preserve">执行通用条款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20</w:t>
      </w:r>
      <w:r>
        <w:rPr>
          <w:rFonts w:ascii="SimSun" w:hAnsi="SimSun" w:eastAsia="SimSun" w:cs="SimSun"/>
          <w:color w:val="000000"/>
          <w:sz w:val="21"/>
        </w:rPr>
        <w:t xml:space="preserve">.争议解决</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20.3争议评审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合同当事人是否同意将工程争议提交争议评审小组决定：</w:t>
      </w:r>
      <w:r>
        <w:rPr>
          <w:rFonts w:ascii="SimSun" w:hAnsi="SimSun" w:eastAsia="SimSun" w:cs="SimSun"/>
          <w:color w:val="000000"/>
          <w:sz w:val="21"/>
          <w:u w:val="single"/>
        </w:rPr>
        <w:t xml:space="preserve">不提交</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20.3.1争议评审小组的确定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争议评审小组成员的确定：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选定争议评审员的期限：</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争议评审小组成员的报酬承担方式：</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其他事项的约定：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20.3.2争议评审小组的决定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合同当事人关于本项的约定：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20.4仲裁或诉讼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因合同及合同有关事项发生的争议，按下列第</w:t>
      </w:r>
      <w:r>
        <w:rPr>
          <w:rFonts w:ascii="SimSun" w:hAnsi="SimSun" w:eastAsia="SimSun" w:cs="SimSun"/>
          <w:color w:val="000000"/>
          <w:sz w:val="21"/>
          <w:u w:val="single"/>
        </w:rPr>
        <w:t xml:space="preserve"> （2） </w:t>
      </w:r>
      <w:r>
        <w:rPr>
          <w:rFonts w:ascii="SimSun" w:hAnsi="SimSun" w:eastAsia="SimSun" w:cs="SimSun"/>
          <w:color w:val="000000"/>
          <w:sz w:val="21"/>
        </w:rPr>
        <w:t xml:space="preserve">种方式解决：</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(1)向</w:t>
      </w:r>
      <w:r>
        <w:rPr>
          <w:rFonts w:ascii="SimSun" w:hAnsi="SimSun" w:eastAsia="SimSun" w:cs="SimSun"/>
          <w:color w:val="000000"/>
          <w:sz w:val="21"/>
          <w:u w:val="single"/>
        </w:rPr>
        <w:t xml:space="preserve"> 连云港 </w:t>
      </w:r>
      <w:r>
        <w:rPr>
          <w:rFonts w:ascii="SimSun" w:hAnsi="SimSun" w:eastAsia="SimSun" w:cs="SimSun"/>
          <w:color w:val="000000"/>
          <w:sz w:val="21"/>
        </w:rPr>
        <w:t xml:space="preserve">仲裁委员会申请仲裁；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(2)向</w:t>
      </w:r>
      <w:r>
        <w:rPr>
          <w:rFonts w:ascii="SimSun" w:hAnsi="SimSun" w:eastAsia="SimSun" w:cs="SimSun"/>
          <w:color w:val="000000"/>
          <w:sz w:val="21"/>
          <w:u w:val="single"/>
        </w:rPr>
        <w:t xml:space="preserve"> 项目所在地 </w:t>
      </w:r>
      <w:r>
        <w:rPr>
          <w:rFonts w:ascii="SimSun" w:hAnsi="SimSun" w:eastAsia="SimSun" w:cs="SimSun"/>
          <w:color w:val="000000"/>
          <w:sz w:val="21"/>
        </w:rPr>
        <w:t xml:space="preserve">人民法院起诉。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其他：因诉讼而产生的诉讼费、律师费、差旅费、文印费等费用由违约方承担。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21</w:t>
      </w:r>
      <w:r>
        <w:rPr>
          <w:rFonts w:ascii="SimSun" w:hAnsi="SimSun" w:eastAsia="SimSun" w:cs="SimSun"/>
          <w:color w:val="000000"/>
          <w:sz w:val="21"/>
        </w:rPr>
        <w:t xml:space="preserve">.补充条款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 承包人应充分考虑到在节假日、国家和省、市内重大活动期间、各项检查以及在发包人需要的时间段内，可能会对施工作出某些限制和配合要求，承包人应予服从并按要求做出必要的配合，这可能会降低承包人的施工工效，发包人不会为此额外另增加费用支付且工期不得顺延，视同承包人在报价时已对此进行充分考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 所有废水、污水应按批准的方法处理后排入排污系统，不得污染环境，否则，由此而引起的后果由承包人自行负责。所有的施工垃圾应按照批准的方法运往批准的地点进行处理，生活垃圾应按照城市规定每天集中，纳入城市垃圾处理系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21.3 工程施工期间，应控制噪音对环境的影响，承包人必须满足国家和市有关法规要求。在选择施工设施、设备时，承包人必须考虑由此产生的噪声对承包人的劳动力和周围地区居民的影响，由于施工噪声引起的任何民事纠纷由承包人负责解决。</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21.4 由于施工所产生的震动不得影响周围建筑物的安全，不得破坏有关单位精密仪器设备的正常精度以及居民的身体健康。由于施工震动引起的任何民事纠纷由承包人负责解决。如震动超过极限值时，监理工程师可批示承包人改变其施工方法，使其符合有关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21.5承包人已在合同价中计入了本工程场地条件以及本工程周围地形、地貌、水文、地质、地下管线、交通道路、工期等风险费用。在整个工程施工期间承包人不得就上述条件的变化提出任何额外费用或延长竣工日期的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21.6 无论任何时期，发包人有权在本合同所属工程范围内根据整个项目的实际施工进度，将工程分阶段开工与竣工。承包人已被视为在报价中考虑此因素。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21.7 承包人应将施工中产生的多余土方及建筑垃圾清运出场，其外运堆放场地及运距由承包人事先勘察现场情况考虑确定，费用包括在合同总价中，以后无论如何变化均不作调整。因承包人倾倒地点和处置方法不妥或运输途中泥土废渣掉落受到有关部门的处罚均由承包人自行承担。若承包人清除现场土方、垃圾不及时，发包人有权另请他人清除现场土方及垃圾，由此产生的费用由发包人直接从承包人的工程款中扣除，承包人不得对发包人代付的费用金额提出任何异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21.8承包人应遵守当地政府有关主管部门对施工场地及城市道路、周边建筑排污、渣土、环保（含施工噪音、施工粉尘）、环卫、市容、城建、治安、交管、人口管理以及安全生产等的管 理规定，按政府及有关主管部门规定缴纳上述各项费用，办理相关手续，并以书面形式将办理结果通知发包人。承包人应将办理上述事项的费用综合考虑在投标报价中，该部分费用包干使用，以后不作调整。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21.9 本合同价中应包括防洪、防风、暴雨措施所需要的一切费用。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21.10 施工过程中与周围发生的纠纷由承包人自行协商解决，费用由承包人自理，该费用应包含在合同价中。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21.11 承包人结算经发包人及发包人直接委托造价咨询机构进行审计，为防止承包人高估冒算，承包人送审结算核减率应小于5%(含5%)，该部分的审计费用由发包人支付，若承包人送审结算核减率大于5%，超出部分的审计费用由承包人承担。同时为避免施工过程中施工单位恶意变更，虚报价格，承包人送审工程变更、签证、价格核定等核减率应小于5%(含5%)，该部分的审计费用由发包人支付，若承包人送审工程变更、签证、价格核定等核减率大于5%，超出部分的审计费用由承包人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21.12 如承包人转包或分包的行为造成发包人被第三方起诉、提起仲裁的，发包人因此受到的损失由承包人承担，且承包人应支付给发包人第三方诉求金额10%的违约金。发包人有权将承包人列入不良资信名单，并向相关行政主管部门举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21.13 如承包人原因引发社会矛盾或其他争议纠纷给发包人造成不良影响或损失的，承包人应积极处理解决社会矛盾，消除不良影响，并承担因此给发包人造成的损失，发包人根据情况不同有权扣除承包人总合同价款1%～5%的违约金。发包人视情况扣减承包人行业履约信誉分值，情况严重者将承包人列入不良资信名单，并向相关行政主管部门举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21.14 承包人已清楚并考虑施工现场条件、招标文件、图纸、施工组织设计、施工技术规范、安全维护、文明施工、工程保修等要求，以及本工程相关材料所有检测费用、二次搬运、卸车、相应配件、专用工具、现场清理、因施工可能产生民事纠纷协调等因素产生的费用以及按规定应由投标人负担的各种税费等均包含在投标报价中。负责工程验收及交付使用前的工程卫生清理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21.15施工临时便道由施工方按现场情况自行考虑和布置，所产生的费用包括在合同总价中，以后无论如何变化均不作调整。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21.16承包人须勘察施工现场情况，充分考虑对本工程施工影响的各种因素，并根据现场实际情况结合自身施工经验，对发包人所列的措施项目进行增补及报足，结算时不因施工组织设计方案改变、现场情况投标认识不充分等各种理由再调整报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21.17本工程工期紧，如需赶工施工，以保证项目顺利完成，报价时已包含赶工、雨季施工等措施费用。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21.18本工程须按图施工，技术规范高于国家标准的，按相应的规范执行；低于国家标准的，按国家标准执行。如发现承包人未按图施工或低于规范标准要求施工，发包人有权要求停工、返工，承包人拒不改正的按5000元/次向发包人支付违约金，违约金从合同价款中扣除。因此造成的所有损失由承包人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21.19施工单位必须按图施工，所有材料或构配件的规格、品种、型号与设计图纸相符。否则，按不合格工程处理，所施工的工程量不予以结算工程价款，同时建设单位保留索赔的权利。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21.20施工单位需积极协调施工区域内相关单位、村委或居民关系，严禁无故激化矛盾，导致工程施工受阻或无法施工。如因施工单位原因造成施工工程被投诉到政府相关平台，造成对建设单位不良影响，经建设单位查实，根据具体情况，按5000元～20000元／次投诉违约金（罚款），从合同价款中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21.21在质量保修期内，无论何种原因，对施工单位所施工的工程，出现需维修、翻工重做、完善工作情况，施工单位无任何理由，按建设单位要求的时间内，保质保量完成相关维修或完善工作，具体施工价款由责任方承担。如施工单位拒不配合建设要求进行及时维修、翻工重做、完善工作的，建设单位有权委托其他施工单位进行相关质保工作，由施工单位施工质量等原因造成的，按实际发生费用的3倍金额从结算价款中扣除，给予所委托的施工进行结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21.22工程结算时，施工单位必须提供完整、真实、有效的竣工图纸，竣工图作为结算依据，经监理单位、审计单位签字确认，经建设认可。结算工程量增量偏差超过法定或约定百分比时，出现虚报工程等违规行为，一经查实，建设单位有权否定审计结果，不予以支付结余工程价款，同时保留相关索赔的权力与法律追究的权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21.23承包人负责本工程竣工资料的整理，保证资料符合要求，及时报送总包并配合总包整体工程竣工验收。因资料移交不及时及工程质量导致竣工验收或竣工备案延误的，按工期延误处理。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21.24承包人的食宿及工人住宿设施设备自行负责解决，费用已包含在合同价款中。承包人必须保证施工期间的民工工资发放，向有关部门足额缴纳该项保证金。若出现拖欠民工工资，视同承包人违约，发包人并要求承包人赔偿造成的损失、追究相应的责任，并从发包人支付的工程款中扣除拖欠的民工工资、赔偿造成的损失，并同时从合同履约保证金中扣除相应损失部分（含拖欠的民工工资）的10%违约金，直至扣完为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21.25承包人应对现场作业、施工方法及施工过程的完整性、稳定性和安全性承担全部责任，负责完成对工程的稳定、完整、安全、可靠及有效运行所必需的全部工作。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21.26若工程质量不符合施工验收规范及设计要求的，承包人按要求须在限期内返工或需采取其他补救措施达到合格标准，所发生的费用均由承包人承担。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21.27设计变更与现场签证执行一单一算、一月一清原则：一个设计变更或现场签证单，承包单位在发包单位规定期限内编制一份结算单报审核，每月10日前，发包单位、承包单位应就截止上月末已完工且手续完备的设计变更、现场签证，核清造价并签字确认，逾期不予办理，视同承包商让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21.28农民工工资发放：承包人须切实做好工地施工人员的思想稳定工作，不得拖欠农民工工资，如因承包方原因造成不良后果，发包人将取消该承包人今后在发包人的投标资格。若该工程因承包人拖欠民工工资，对发包人正常工作造成影响，发包人有权按承包人实际拖欠数，在进度款中扣除备付。现场设立打卡制度，现场监理、发包人监督承包人发放民工工资，确保民工工资如实发放。发包人支付承包人工程进度款前，承包人须上报工程款下发明细，明细需承包人、班组确认签字。承包人在收到进度款后需第一时间下发至各施工班组，并将农民工工资签收表和收条贴于</w:t>
      </w:r>
      <w:r>
        <w:rPr>
          <w:rFonts w:ascii="SimSun" w:hAnsi="SimSun" w:eastAsia="SimSun" w:cs="SimSun"/>
          <w:color w:val="000000"/>
          <w:sz w:val="21"/>
        </w:rPr>
        <w:t xml:space="preserve">公示栏进行公示。若承包人暂扣班组或农民工部分或全部工资在中秋节、春节支付，则发包人将与承包人共同设立资金监管专有账户，将进度款中农民工工资部分存至专有账户，确保专款专用。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21.29因承包方挂靠、转包行为导致本合同无效的，发包方按照已完成工程量审定价的70%折价补偿承包方和实际施工人。因合同无效导致发包方工期延误、另行发包等损失的，承包方和实际施工人承担连带赔偿责任，该赔偿责任不低于合同价款的20%，发包方有权从工程款中直接扣除，无需提供证据证明，不足部分由承包方、实际施工人共同补足。</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附件1：工程质量保修书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附件2：承包人主要施工管理人员表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附件3：中标人诚信承诺书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附件4：工程安全环境管理协议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附件5：不拖欠农民工工资承诺书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附件6：履约承诺函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附件7：承包人施工安全承诺书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附件8：承包人施工进场承诺书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附件9：工程建设廉政合同</w:t>
      </w:r>
      <w:r/>
    </w:p>
    <w:p>
      <w:pPr>
        <w:ind w:left="0" w:right="0" w:firstLine="0"/>
        <w:jc w:val="both"/>
        <w:spacing w:before="210" w:after="0" w:line="31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10" w:after="0" w:line="31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10" w:after="0" w:line="31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10" w:after="0" w:line="31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10" w:after="0" w:line="31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10" w:after="0" w:line="31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10" w:after="0" w:line="31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10" w:after="0" w:line="31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10" w:after="0" w:line="31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10" w:after="0" w:line="31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10" w:after="0" w:line="31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10" w:after="0" w:line="31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10" w:after="0" w:line="31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附件1：</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工程质量保修书</w:t>
      </w:r>
      <w:r/>
    </w:p>
    <w:p>
      <w:pPr>
        <w:ind w:left="0" w:right="0" w:firstLine="44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发包人：</w:t>
      </w:r>
      <w:r>
        <w:rPr>
          <w:rFonts w:ascii="SimSun" w:hAnsi="SimSun" w:eastAsia="SimSun" w:cs="SimSun"/>
          <w:b/>
          <w:color w:val="000000"/>
          <w:sz w:val="22"/>
          <w:u w:val="single"/>
        </w:rPr>
        <w:t xml:space="preserve">赣榆区青口镇人民政府</w:t>
      </w:r>
      <w:r>
        <w:rPr>
          <w:rFonts w:ascii="SimSun" w:hAnsi="SimSun" w:eastAsia="SimSun" w:cs="SimSun"/>
          <w:b/>
          <w:color w:val="000000"/>
          <w:sz w:val="22"/>
        </w:rPr>
        <w:t xml:space="preserve">（以下简称发包人）</w:t>
      </w:r>
      <w:r/>
    </w:p>
    <w:p>
      <w:pPr>
        <w:ind w:left="0" w:right="0" w:firstLine="44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承包人：</w:t>
      </w:r>
      <w:r>
        <w:rPr>
          <w:rFonts w:ascii="SimSun" w:hAnsi="SimSun" w:eastAsia="SimSun" w:cs="SimSun"/>
          <w:b/>
          <w:color w:val="000000"/>
          <w:sz w:val="22"/>
          <w:u w:val="single"/>
        </w:rPr>
        <w:t xml:space="preserve">                              </w:t>
      </w:r>
      <w:r>
        <w:rPr>
          <w:rFonts w:ascii="SimSun" w:hAnsi="SimSun" w:eastAsia="SimSun" w:cs="SimSun"/>
          <w:b/>
          <w:color w:val="000000"/>
          <w:sz w:val="22"/>
        </w:rPr>
        <w:t xml:space="preserve">（以下简称承包人）</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发包人和承包人根据《中华人民共和国建筑法》和《建设工程质量管理条例》，经协商一致就</w:t>
      </w:r>
      <w:r>
        <w:rPr>
          <w:rFonts w:ascii="SimSun" w:hAnsi="SimSun" w:eastAsia="SimSun" w:cs="SimSun"/>
          <w:b/>
          <w:color w:val="000000"/>
          <w:sz w:val="22"/>
          <w:u w:val="single"/>
        </w:rPr>
        <w:t xml:space="preserve">青口十八勇士纪念馆改陈布展工程（政府采购工程）</w:t>
      </w:r>
      <w:r>
        <w:rPr>
          <w:rFonts w:ascii="SimSun" w:hAnsi="SimSun" w:eastAsia="SimSun" w:cs="SimSun"/>
          <w:color w:val="000000"/>
          <w:sz w:val="22"/>
        </w:rPr>
        <w:t xml:space="preserve">（工程全称）签订工程质量保修书。</w:t>
      </w:r>
      <w:r/>
    </w:p>
    <w:p>
      <w:pPr>
        <w:ind w:left="0" w:right="0" w:firstLine="44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一、工程质量保修范围和内容</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承包人在质量保修期内，按照有关法律规定和合同约定，承担工程质量保修责任。</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质量保修范围包括主体结构工程、有防水要求的卫生间、房间和外墙面的防渗漏，供热与供冷系统，电气管线、给排水管道、设备安装和装修工程，以及双方约定的其他项目。具体保修的内容，双方约定如下：</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1、结构部分为设计文件规定的合理使用年限；</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2、给水管道、设备安装等为二年；</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3、其他约定：实际竣工即工程完工且经质检部门验收合格，正式办理交付使用手续之日。 </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二、质量保修期</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根据《建设工程质量管理条例》及有关规定，工程的质量保修期如下：</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1、地基基础工程和主体结构工程为设计文件规定的工程合理使用年限；</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2、电气管线、给排水管道、设备安装工程为</w:t>
      </w:r>
      <w:r>
        <w:rPr>
          <w:rFonts w:ascii="SimSun" w:hAnsi="SimSun" w:eastAsia="SimSun" w:cs="SimSun"/>
          <w:color w:val="000000"/>
          <w:sz w:val="22"/>
          <w:u w:val="single"/>
        </w:rPr>
        <w:t xml:space="preserve"> 2  </w:t>
      </w:r>
      <w:r>
        <w:rPr>
          <w:rFonts w:ascii="SimSun" w:hAnsi="SimSun" w:eastAsia="SimSun" w:cs="SimSun"/>
          <w:color w:val="000000"/>
          <w:sz w:val="22"/>
        </w:rPr>
        <w:t xml:space="preserve">年；</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3、住宅小区内的给排水设施、道路等配套工程为</w:t>
      </w:r>
      <w:r>
        <w:rPr>
          <w:rFonts w:ascii="SimSun" w:hAnsi="SimSun" w:eastAsia="SimSun" w:cs="SimSun"/>
          <w:color w:val="000000"/>
          <w:sz w:val="22"/>
          <w:u w:val="single"/>
        </w:rPr>
        <w:t xml:space="preserve">  2  </w:t>
      </w:r>
      <w:r>
        <w:rPr>
          <w:rFonts w:ascii="SimSun" w:hAnsi="SimSun" w:eastAsia="SimSun" w:cs="SimSun"/>
          <w:color w:val="000000"/>
          <w:sz w:val="22"/>
        </w:rPr>
        <w:t xml:space="preserve">年；</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4、屋面防水工程、有防水要求的卫生间、房间和外墙面的防渗为</w:t>
      </w:r>
      <w:r>
        <w:rPr>
          <w:rFonts w:ascii="SimSun" w:hAnsi="SimSun" w:eastAsia="SimSun" w:cs="SimSun"/>
          <w:color w:val="000000"/>
          <w:sz w:val="22"/>
          <w:u w:val="single"/>
        </w:rPr>
        <w:t xml:space="preserve">  5  </w:t>
      </w:r>
      <w:r>
        <w:rPr>
          <w:rFonts w:ascii="SimSun" w:hAnsi="SimSun" w:eastAsia="SimSun" w:cs="SimSun"/>
          <w:color w:val="000000"/>
          <w:sz w:val="22"/>
        </w:rPr>
        <w:t xml:space="preserve">年；</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5、其他项目保修期限约定如下：</w:t>
      </w:r>
      <w:r>
        <w:rPr>
          <w:rFonts w:ascii="SimSun" w:hAnsi="SimSun" w:eastAsia="SimSun" w:cs="SimSun"/>
          <w:b/>
          <w:color w:val="000000"/>
          <w:sz w:val="22"/>
          <w:u w:val="single"/>
        </w:rPr>
        <w:t xml:space="preserve">所有项目保修期限不低于2年 </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质量保修期自工程竣工验收合格之日起计算。</w:t>
      </w:r>
      <w:r/>
    </w:p>
    <w:p>
      <w:pPr>
        <w:ind w:left="0" w:right="0" w:firstLine="44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三、缺陷责任期</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工程缺陷责任期为</w:t>
      </w:r>
      <w:r>
        <w:rPr>
          <w:rFonts w:ascii="SimSun" w:hAnsi="SimSun" w:eastAsia="SimSun" w:cs="SimSun"/>
          <w:color w:val="000000"/>
          <w:sz w:val="22"/>
          <w:u w:val="single"/>
        </w:rPr>
        <w:t xml:space="preserve"> 24 </w:t>
      </w:r>
      <w:r>
        <w:rPr>
          <w:rFonts w:ascii="SimSun" w:hAnsi="SimSun" w:eastAsia="SimSun" w:cs="SimSun"/>
          <w:color w:val="000000"/>
          <w:sz w:val="22"/>
        </w:rPr>
        <w:t xml:space="preserve">个月，缺陷责任期自工程竣工且验收合格之日起计算。单位工程先于全部工程进行验收，单位工程缺陷责任期自单位工程验收合格之日起算。</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缺陷责任期终止后，发包人应退还剩余的质量保证金（无息）。</w:t>
      </w:r>
      <w:r/>
    </w:p>
    <w:p>
      <w:pPr>
        <w:ind w:left="0" w:right="0" w:firstLine="44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四、质量保修责任</w:t>
      </w:r>
      <w:r/>
    </w:p>
    <w:p>
      <w:pPr>
        <w:ind w:left="0" w:right="0" w:firstLine="49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1、属于保修范围和内容的项目，承包人应在接到修理通知之日后</w:t>
      </w:r>
      <w:r>
        <w:rPr>
          <w:rFonts w:ascii="SimSun" w:hAnsi="SimSun" w:eastAsia="SimSun" w:cs="SimSun"/>
          <w:color w:val="000000"/>
          <w:sz w:val="22"/>
          <w:u w:val="single"/>
        </w:rPr>
        <w:t xml:space="preserve">24</w:t>
      </w:r>
      <w:r>
        <w:rPr>
          <w:rFonts w:ascii="SimSun" w:hAnsi="SimSun" w:eastAsia="SimSun" w:cs="SimSun"/>
          <w:color w:val="000000"/>
          <w:sz w:val="22"/>
        </w:rPr>
        <w:t xml:space="preserve">小时内派人修理。承包人不在约定期限内派人修理，发包人可委托其他人员修理，保修费用从质量保修金内扣除。</w:t>
      </w:r>
      <w:r/>
    </w:p>
    <w:p>
      <w:pPr>
        <w:ind w:left="0" w:right="0" w:firstLine="49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2、发生须紧急抢修事故，承包人接到事故通知后，应立即到达事故现场抢修。非承包人施工质量引起的事故，抢修费用由发包人承担。</w:t>
      </w:r>
      <w:r/>
    </w:p>
    <w:p>
      <w:pPr>
        <w:ind w:left="0" w:right="0" w:firstLine="49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3、在国家规定的工程合理使用期限内，承包人确保路面的质量合格。因承包人致使工程在合理使用期限内造成人身和财产损害的，承包人应承担损害赔偿责任。</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4、质量保修完成后，由发包人组织验收。</w:t>
      </w:r>
      <w:r/>
    </w:p>
    <w:p>
      <w:pPr>
        <w:ind w:left="0" w:right="0" w:firstLine="44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五、保修费用</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保修费用由造成质量缺陷的责任方承担。</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六、双方约定的其他工程质量保修事项：</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工程质量保修书由发包人、承包人在工程竣工验收前共同签署，作为施工合同附件，其有效期限至保修期满。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发包人(盖章)                     承包人(盖章)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法定代表人：法定代表人：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日期：年月日日期：年月日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附件2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承包人主要施工管理人员表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13"/>
        <w:gridCol w:w="1218"/>
        <w:gridCol w:w="1005"/>
        <w:gridCol w:w="1513"/>
        <w:gridCol w:w="3050"/>
      </w:tblGrid>
      <w:tr>
        <w:trPr>
          <w:trHeight w:val="527"/>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1513" w:type="dxa"/>
            <w:vAlign w:val="center"/>
            <w:textDirection w:val="lrTb"/>
            <w:noWrap w:val="false"/>
          </w:tcPr>
          <w:p>
            <w:pPr>
              <w:ind w:left="63" w:right="63" w:firstLine="0"/>
              <w:jc w:val="center"/>
              <w:spacing w:before="0" w:after="0" w:line="439" w:lineRule="atLeast"/>
              <w:tabs>
                <w:tab w:val="left" w:pos="1160" w:leader="none"/>
                <w:tab w:val="left" w:pos="242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名    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218" w:type="dxa"/>
            <w:vAlign w:val="center"/>
            <w:textDirection w:val="lrTb"/>
            <w:noWrap w:val="false"/>
          </w:tcPr>
          <w:p>
            <w:pPr>
              <w:ind w:left="63" w:right="63" w:firstLine="0"/>
              <w:jc w:val="center"/>
              <w:spacing w:before="0" w:after="0" w:line="439" w:lineRule="atLeast"/>
              <w:tabs>
                <w:tab w:val="left" w:pos="1160" w:leader="none"/>
                <w:tab w:val="left" w:pos="242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姓名</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05" w:type="dxa"/>
            <w:vAlign w:val="center"/>
            <w:textDirection w:val="lrTb"/>
            <w:noWrap w:val="false"/>
          </w:tcPr>
          <w:p>
            <w:pPr>
              <w:ind w:left="63" w:right="63" w:firstLine="0"/>
              <w:jc w:val="center"/>
              <w:spacing w:before="0" w:after="0" w:line="439" w:lineRule="atLeast"/>
              <w:tabs>
                <w:tab w:val="left" w:pos="1160" w:leader="none"/>
                <w:tab w:val="left" w:pos="242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职务</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513" w:type="dxa"/>
            <w:vAlign w:val="center"/>
            <w:textDirection w:val="lrTb"/>
            <w:noWrap w:val="false"/>
          </w:tcPr>
          <w:p>
            <w:pPr>
              <w:ind w:left="63" w:right="63" w:firstLine="0"/>
              <w:jc w:val="center"/>
              <w:spacing w:before="0" w:after="0" w:line="439" w:lineRule="atLeast"/>
              <w:tabs>
                <w:tab w:val="left" w:pos="1160" w:leader="none"/>
                <w:tab w:val="left" w:pos="242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职称</w:t>
            </w:r>
            <w:r/>
          </w:p>
        </w:tc>
        <w:tc>
          <w:tcPr>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3050" w:type="dxa"/>
            <w:vAlign w:val="center"/>
            <w:textDirection w:val="lrTb"/>
            <w:noWrap w:val="false"/>
          </w:tcPr>
          <w:p>
            <w:pPr>
              <w:ind w:left="63" w:right="63" w:firstLine="0"/>
              <w:jc w:val="center"/>
              <w:spacing w:before="0" w:after="0" w:line="439" w:lineRule="atLeast"/>
              <w:tabs>
                <w:tab w:val="left" w:pos="1160" w:leader="none"/>
                <w:tab w:val="left" w:pos="242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主要资历、经验及承担过的项目</w:t>
            </w:r>
            <w:r/>
          </w:p>
        </w:tc>
      </w:tr>
      <w:tr>
        <w:trPr>
          <w:trHeight w:val="543"/>
        </w:trPr>
        <w:tc>
          <w:tcPr>
            <w:gridSpan w:val="5"/>
            <w:tcBorders>
              <w:top w:val="none" w:color="000000" w:sz="4" w:space="0"/>
              <w:left w:val="single" w:color="000000" w:sz="12" w:space="0"/>
              <w:bottom w:val="single" w:color="000000" w:sz="8" w:space="0"/>
              <w:right w:val="single" w:color="000000" w:sz="12" w:space="0"/>
            </w:tcBorders>
            <w:tcMar>
              <w:left w:w="28" w:type="dxa"/>
              <w:top w:w="0" w:type="dxa"/>
              <w:right w:w="28" w:type="dxa"/>
              <w:bottom w:w="0" w:type="dxa"/>
            </w:tcMar>
            <w:tcW w:w="8298" w:type="dxa"/>
            <w:vAlign w:val="center"/>
            <w:textDirection w:val="lrTb"/>
            <w:noWrap w:val="false"/>
          </w:tcPr>
          <w:p>
            <w:pPr>
              <w:ind w:left="63" w:right="63" w:firstLine="0"/>
              <w:jc w:val="center"/>
              <w:spacing w:before="0" w:after="0"/>
              <w:tabs>
                <w:tab w:val="left" w:pos="1160" w:leader="none"/>
                <w:tab w:val="left" w:pos="242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一、总部人员</w:t>
            </w:r>
            <w:r/>
          </w:p>
        </w:tc>
      </w:tr>
      <w:tr>
        <w:trPr>
          <w:trHeight w:val="511"/>
        </w:trPr>
        <w:tc>
          <w:tcPr>
            <w:tcBorders>
              <w:top w:val="none" w:color="000000" w:sz="4" w:space="0"/>
              <w:left w:val="single" w:color="000000" w:sz="12" w:space="0"/>
              <w:bottom w:val="none" w:color="000000" w:sz="4" w:space="0"/>
              <w:right w:val="single" w:color="000000" w:sz="8" w:space="0"/>
            </w:tcBorders>
            <w:tcMar>
              <w:left w:w="28" w:type="dxa"/>
              <w:top w:w="0" w:type="dxa"/>
              <w:right w:w="28" w:type="dxa"/>
              <w:bottom w:w="0" w:type="dxa"/>
            </w:tcMar>
            <w:tcW w:w="1513" w:type="dxa"/>
            <w:vAlign w:val="center"/>
            <w:textDirection w:val="lrTb"/>
            <w:noWrap w:val="false"/>
          </w:tcPr>
          <w:p>
            <w:pPr>
              <w:ind w:left="63" w:right="63" w:firstLine="0"/>
              <w:jc w:val="center"/>
              <w:spacing w:before="0" w:after="0"/>
              <w:tabs>
                <w:tab w:val="left" w:pos="1160" w:leader="none"/>
                <w:tab w:val="left" w:pos="242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项目主管</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218" w:type="dxa"/>
            <w:vAlign w:val="center"/>
            <w:textDirection w:val="lrTb"/>
            <w:noWrap w:val="false"/>
          </w:tcPr>
          <w:p>
            <w:pPr>
              <w:ind w:left="63" w:right="63" w:firstLine="0"/>
              <w:jc w:val="center"/>
              <w:spacing w:before="0" w:after="0"/>
              <w:tabs>
                <w:tab w:val="left" w:pos="1160" w:leader="none"/>
                <w:tab w:val="left" w:pos="242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05" w:type="dxa"/>
            <w:vAlign w:val="center"/>
            <w:textDirection w:val="lrTb"/>
            <w:noWrap w:val="false"/>
          </w:tcPr>
          <w:p>
            <w:pPr>
              <w:ind w:left="63" w:right="63" w:firstLine="0"/>
              <w:jc w:val="center"/>
              <w:spacing w:before="0" w:after="0"/>
              <w:tabs>
                <w:tab w:val="left" w:pos="1160" w:leader="none"/>
                <w:tab w:val="left" w:pos="242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513" w:type="dxa"/>
            <w:vAlign w:val="center"/>
            <w:textDirection w:val="lrTb"/>
            <w:noWrap w:val="false"/>
          </w:tcPr>
          <w:p>
            <w:pPr>
              <w:ind w:left="63" w:right="63" w:firstLine="0"/>
              <w:jc w:val="center"/>
              <w:spacing w:before="0" w:after="0"/>
              <w:tabs>
                <w:tab w:val="left" w:pos="1160" w:leader="none"/>
                <w:tab w:val="left" w:pos="242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12" w:space="0"/>
            </w:tcBorders>
            <w:tcMar>
              <w:left w:w="28" w:type="dxa"/>
              <w:top w:w="0" w:type="dxa"/>
              <w:right w:w="28" w:type="dxa"/>
              <w:bottom w:w="0" w:type="dxa"/>
            </w:tcMar>
            <w:tcW w:w="3050" w:type="dxa"/>
            <w:vAlign w:val="center"/>
            <w:textDirection w:val="lrTb"/>
            <w:noWrap w:val="false"/>
          </w:tcPr>
          <w:p>
            <w:pPr>
              <w:ind w:left="63" w:right="63" w:firstLine="0"/>
              <w:jc w:val="center"/>
              <w:spacing w:before="0" w:after="0"/>
              <w:tabs>
                <w:tab w:val="left" w:pos="1160" w:leader="none"/>
                <w:tab w:val="left" w:pos="242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11"/>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513" w:type="dxa"/>
            <w:vAlign w:val="center"/>
            <w:vMerge w:val="restart"/>
            <w:textDirection w:val="lrTb"/>
            <w:noWrap w:val="false"/>
          </w:tcPr>
          <w:p>
            <w:pPr>
              <w:ind w:left="63" w:right="63" w:firstLine="0"/>
              <w:jc w:val="center"/>
              <w:spacing w:before="0" w:after="0"/>
              <w:tabs>
                <w:tab w:val="left" w:pos="1160" w:leader="none"/>
                <w:tab w:val="left" w:pos="242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其他人员</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18" w:type="dxa"/>
            <w:vAlign w:val="center"/>
            <w:textDirection w:val="lrTb"/>
            <w:noWrap w:val="false"/>
          </w:tcPr>
          <w:p>
            <w:pPr>
              <w:ind w:left="63" w:right="63" w:firstLine="0"/>
              <w:jc w:val="center"/>
              <w:spacing w:before="0" w:after="0"/>
              <w:tabs>
                <w:tab w:val="left" w:pos="1160" w:leader="none"/>
                <w:tab w:val="left" w:pos="242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5" w:type="dxa"/>
            <w:vAlign w:val="center"/>
            <w:textDirection w:val="lrTb"/>
            <w:noWrap w:val="false"/>
          </w:tcPr>
          <w:p>
            <w:pPr>
              <w:ind w:left="63" w:right="63" w:firstLine="0"/>
              <w:jc w:val="center"/>
              <w:spacing w:before="0" w:after="0"/>
              <w:tabs>
                <w:tab w:val="left" w:pos="1160" w:leader="none"/>
                <w:tab w:val="left" w:pos="242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513" w:type="dxa"/>
            <w:vAlign w:val="center"/>
            <w:textDirection w:val="lrTb"/>
            <w:noWrap w:val="false"/>
          </w:tcPr>
          <w:p>
            <w:pPr>
              <w:ind w:left="63" w:right="63" w:firstLine="0"/>
              <w:jc w:val="center"/>
              <w:spacing w:before="0" w:after="0"/>
              <w:tabs>
                <w:tab w:val="left" w:pos="1160" w:leader="none"/>
                <w:tab w:val="left" w:pos="242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050" w:type="dxa"/>
            <w:vAlign w:val="center"/>
            <w:textDirection w:val="lrTb"/>
            <w:noWrap w:val="false"/>
          </w:tcPr>
          <w:p>
            <w:pPr>
              <w:ind w:left="63" w:right="63" w:firstLine="0"/>
              <w:jc w:val="center"/>
              <w:spacing w:before="0" w:after="0"/>
              <w:tabs>
                <w:tab w:val="left" w:pos="1160" w:leader="none"/>
                <w:tab w:val="left" w:pos="242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11"/>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18" w:type="dxa"/>
            <w:vAlign w:val="center"/>
            <w:textDirection w:val="lrTb"/>
            <w:noWrap w:val="false"/>
          </w:tcPr>
          <w:p>
            <w:pPr>
              <w:ind w:left="63" w:right="63" w:firstLine="0"/>
              <w:jc w:val="center"/>
              <w:spacing w:before="0" w:after="0"/>
              <w:tabs>
                <w:tab w:val="left" w:pos="1160" w:leader="none"/>
                <w:tab w:val="left" w:pos="242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5" w:type="dxa"/>
            <w:vAlign w:val="center"/>
            <w:textDirection w:val="lrTb"/>
            <w:noWrap w:val="false"/>
          </w:tcPr>
          <w:p>
            <w:pPr>
              <w:ind w:left="63" w:right="63" w:firstLine="0"/>
              <w:jc w:val="center"/>
              <w:spacing w:before="0" w:after="0"/>
              <w:tabs>
                <w:tab w:val="left" w:pos="1160" w:leader="none"/>
                <w:tab w:val="left" w:pos="242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513" w:type="dxa"/>
            <w:vAlign w:val="center"/>
            <w:textDirection w:val="lrTb"/>
            <w:noWrap w:val="false"/>
          </w:tcPr>
          <w:p>
            <w:pPr>
              <w:ind w:left="63" w:right="63" w:firstLine="0"/>
              <w:jc w:val="center"/>
              <w:spacing w:before="0" w:after="0"/>
              <w:tabs>
                <w:tab w:val="left" w:pos="1160" w:leader="none"/>
                <w:tab w:val="left" w:pos="242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050" w:type="dxa"/>
            <w:vAlign w:val="center"/>
            <w:textDirection w:val="lrTb"/>
            <w:noWrap w:val="false"/>
          </w:tcPr>
          <w:p>
            <w:pPr>
              <w:ind w:left="63" w:right="63" w:firstLine="0"/>
              <w:jc w:val="center"/>
              <w:spacing w:before="0" w:after="0"/>
              <w:tabs>
                <w:tab w:val="left" w:pos="1160" w:leader="none"/>
                <w:tab w:val="left" w:pos="242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11"/>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18" w:type="dxa"/>
            <w:vAlign w:val="center"/>
            <w:textDirection w:val="lrTb"/>
            <w:noWrap w:val="false"/>
          </w:tcPr>
          <w:p>
            <w:pPr>
              <w:ind w:left="63" w:right="63" w:firstLine="0"/>
              <w:jc w:val="center"/>
              <w:spacing w:before="0" w:after="0"/>
              <w:tabs>
                <w:tab w:val="left" w:pos="1160" w:leader="none"/>
                <w:tab w:val="left" w:pos="242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5" w:type="dxa"/>
            <w:vAlign w:val="center"/>
            <w:textDirection w:val="lrTb"/>
            <w:noWrap w:val="false"/>
          </w:tcPr>
          <w:p>
            <w:pPr>
              <w:ind w:left="63" w:right="63" w:firstLine="0"/>
              <w:jc w:val="center"/>
              <w:spacing w:before="0" w:after="0"/>
              <w:tabs>
                <w:tab w:val="left" w:pos="1160" w:leader="none"/>
                <w:tab w:val="left" w:pos="242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513" w:type="dxa"/>
            <w:vAlign w:val="center"/>
            <w:textDirection w:val="lrTb"/>
            <w:noWrap w:val="false"/>
          </w:tcPr>
          <w:p>
            <w:pPr>
              <w:ind w:left="63" w:right="63" w:firstLine="0"/>
              <w:jc w:val="center"/>
              <w:spacing w:before="0" w:after="0"/>
              <w:tabs>
                <w:tab w:val="left" w:pos="1160" w:leader="none"/>
                <w:tab w:val="left" w:pos="242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050" w:type="dxa"/>
            <w:vAlign w:val="center"/>
            <w:textDirection w:val="lrTb"/>
            <w:noWrap w:val="false"/>
          </w:tcPr>
          <w:p>
            <w:pPr>
              <w:ind w:left="63" w:right="63" w:firstLine="0"/>
              <w:jc w:val="center"/>
              <w:spacing w:before="0" w:after="0"/>
              <w:tabs>
                <w:tab w:val="left" w:pos="1160" w:leader="none"/>
                <w:tab w:val="left" w:pos="242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11"/>
        </w:trPr>
        <w:tc>
          <w:tcPr>
            <w:gridSpan w:val="5"/>
            <w:tcBorders>
              <w:top w:val="single" w:color="000000" w:sz="8" w:space="0"/>
              <w:left w:val="single" w:color="000000" w:sz="12" w:space="0"/>
              <w:bottom w:val="single" w:color="000000" w:sz="8" w:space="0"/>
              <w:right w:val="single" w:color="000000" w:sz="12" w:space="0"/>
            </w:tcBorders>
            <w:tcMar>
              <w:left w:w="28" w:type="dxa"/>
              <w:top w:w="0" w:type="dxa"/>
              <w:right w:w="28" w:type="dxa"/>
              <w:bottom w:w="0" w:type="dxa"/>
            </w:tcMar>
            <w:tcW w:w="8298" w:type="dxa"/>
            <w:vAlign w:val="center"/>
            <w:textDirection w:val="lrTb"/>
            <w:noWrap w:val="false"/>
          </w:tcPr>
          <w:p>
            <w:pPr>
              <w:ind w:left="63" w:right="63" w:firstLine="0"/>
              <w:jc w:val="center"/>
              <w:spacing w:before="0" w:after="0"/>
              <w:tabs>
                <w:tab w:val="left" w:pos="1160" w:leader="none"/>
                <w:tab w:val="left" w:pos="242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二、现场人员</w:t>
            </w:r>
            <w:r/>
          </w:p>
        </w:tc>
      </w:tr>
      <w:tr>
        <w:trPr>
          <w:trHeight w:val="511"/>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513" w:type="dxa"/>
            <w:vAlign w:val="center"/>
            <w:textDirection w:val="lrTb"/>
            <w:noWrap w:val="false"/>
          </w:tcPr>
          <w:p>
            <w:pPr>
              <w:ind w:left="63" w:right="63" w:firstLine="0"/>
              <w:jc w:val="center"/>
              <w:spacing w:before="0" w:after="0"/>
              <w:tabs>
                <w:tab w:val="left" w:pos="1160" w:leader="none"/>
                <w:tab w:val="left" w:pos="242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项目经理</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18" w:type="dxa"/>
            <w:vAlign w:val="center"/>
            <w:textDirection w:val="lrTb"/>
            <w:noWrap w:val="false"/>
          </w:tcPr>
          <w:p>
            <w:pPr>
              <w:ind w:left="63" w:right="63" w:firstLine="0"/>
              <w:jc w:val="center"/>
              <w:spacing w:before="0" w:after="0"/>
              <w:tabs>
                <w:tab w:val="left" w:pos="1160" w:leader="none"/>
                <w:tab w:val="left" w:pos="242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5" w:type="dxa"/>
            <w:vAlign w:val="center"/>
            <w:textDirection w:val="lrTb"/>
            <w:noWrap w:val="false"/>
          </w:tcPr>
          <w:p>
            <w:pPr>
              <w:ind w:left="63" w:right="63" w:firstLine="0"/>
              <w:jc w:val="center"/>
              <w:spacing w:before="0" w:after="0"/>
              <w:tabs>
                <w:tab w:val="left" w:pos="1160" w:leader="none"/>
                <w:tab w:val="left" w:pos="242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513" w:type="dxa"/>
            <w:vAlign w:val="center"/>
            <w:textDirection w:val="lrTb"/>
            <w:noWrap w:val="false"/>
          </w:tcPr>
          <w:p>
            <w:pPr>
              <w:ind w:left="63" w:right="63" w:firstLine="0"/>
              <w:jc w:val="center"/>
              <w:spacing w:before="0" w:after="0"/>
              <w:tabs>
                <w:tab w:val="left" w:pos="1160" w:leader="none"/>
                <w:tab w:val="left" w:pos="242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050" w:type="dxa"/>
            <w:vAlign w:val="center"/>
            <w:textDirection w:val="lrTb"/>
            <w:noWrap w:val="false"/>
          </w:tcPr>
          <w:p>
            <w:pPr>
              <w:ind w:left="63" w:right="63" w:firstLine="0"/>
              <w:jc w:val="center"/>
              <w:spacing w:before="0" w:after="0"/>
              <w:tabs>
                <w:tab w:val="left" w:pos="1160" w:leader="none"/>
                <w:tab w:val="left" w:pos="242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11"/>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513" w:type="dxa"/>
            <w:vAlign w:val="center"/>
            <w:textDirection w:val="lrTb"/>
            <w:noWrap w:val="false"/>
          </w:tcPr>
          <w:p>
            <w:pPr>
              <w:ind w:left="63" w:right="63" w:firstLine="0"/>
              <w:jc w:val="center"/>
              <w:spacing w:before="0" w:after="0"/>
              <w:tabs>
                <w:tab w:val="left" w:pos="1160" w:leader="none"/>
                <w:tab w:val="left" w:pos="242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项目副经理</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18" w:type="dxa"/>
            <w:vAlign w:val="center"/>
            <w:textDirection w:val="lrTb"/>
            <w:noWrap w:val="false"/>
          </w:tcPr>
          <w:p>
            <w:pPr>
              <w:ind w:left="63" w:right="63" w:firstLine="0"/>
              <w:jc w:val="center"/>
              <w:spacing w:before="0" w:after="0"/>
              <w:tabs>
                <w:tab w:val="left" w:pos="1160" w:leader="none"/>
                <w:tab w:val="left" w:pos="242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5" w:type="dxa"/>
            <w:vAlign w:val="center"/>
            <w:textDirection w:val="lrTb"/>
            <w:noWrap w:val="false"/>
          </w:tcPr>
          <w:p>
            <w:pPr>
              <w:ind w:left="63" w:right="63" w:firstLine="0"/>
              <w:jc w:val="center"/>
              <w:spacing w:before="0" w:after="0"/>
              <w:tabs>
                <w:tab w:val="left" w:pos="1160" w:leader="none"/>
                <w:tab w:val="left" w:pos="242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513" w:type="dxa"/>
            <w:vAlign w:val="center"/>
            <w:textDirection w:val="lrTb"/>
            <w:noWrap w:val="false"/>
          </w:tcPr>
          <w:p>
            <w:pPr>
              <w:ind w:left="63" w:right="63" w:firstLine="0"/>
              <w:jc w:val="center"/>
              <w:spacing w:before="0" w:after="0"/>
              <w:tabs>
                <w:tab w:val="left" w:pos="1160" w:leader="none"/>
                <w:tab w:val="left" w:pos="242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050" w:type="dxa"/>
            <w:vAlign w:val="center"/>
            <w:textDirection w:val="lrTb"/>
            <w:noWrap w:val="false"/>
          </w:tcPr>
          <w:p>
            <w:pPr>
              <w:ind w:left="63" w:right="63" w:firstLine="0"/>
              <w:jc w:val="center"/>
              <w:spacing w:before="0" w:after="0"/>
              <w:tabs>
                <w:tab w:val="left" w:pos="1160" w:leader="none"/>
                <w:tab w:val="left" w:pos="242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11"/>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513" w:type="dxa"/>
            <w:vAlign w:val="center"/>
            <w:textDirection w:val="lrTb"/>
            <w:noWrap w:val="false"/>
          </w:tcPr>
          <w:p>
            <w:pPr>
              <w:ind w:left="63" w:right="63" w:firstLine="0"/>
              <w:jc w:val="center"/>
              <w:spacing w:before="0" w:after="0"/>
              <w:tabs>
                <w:tab w:val="left" w:pos="1160" w:leader="none"/>
                <w:tab w:val="left" w:pos="242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技术负责人</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18" w:type="dxa"/>
            <w:vAlign w:val="center"/>
            <w:textDirection w:val="lrTb"/>
            <w:noWrap w:val="false"/>
          </w:tcPr>
          <w:p>
            <w:pPr>
              <w:ind w:left="63" w:right="63" w:firstLine="0"/>
              <w:jc w:val="center"/>
              <w:spacing w:before="0" w:after="0"/>
              <w:tabs>
                <w:tab w:val="left" w:pos="1160" w:leader="none"/>
                <w:tab w:val="left" w:pos="242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5" w:type="dxa"/>
            <w:vAlign w:val="center"/>
            <w:textDirection w:val="lrTb"/>
            <w:noWrap w:val="false"/>
          </w:tcPr>
          <w:p>
            <w:pPr>
              <w:ind w:left="63" w:right="63" w:firstLine="0"/>
              <w:jc w:val="center"/>
              <w:spacing w:before="0" w:after="0"/>
              <w:tabs>
                <w:tab w:val="left" w:pos="1160" w:leader="none"/>
                <w:tab w:val="left" w:pos="242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513" w:type="dxa"/>
            <w:vAlign w:val="center"/>
            <w:textDirection w:val="lrTb"/>
            <w:noWrap w:val="false"/>
          </w:tcPr>
          <w:p>
            <w:pPr>
              <w:ind w:left="63" w:right="63" w:firstLine="0"/>
              <w:jc w:val="center"/>
              <w:spacing w:before="0" w:after="0"/>
              <w:tabs>
                <w:tab w:val="left" w:pos="1160" w:leader="none"/>
                <w:tab w:val="left" w:pos="242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050" w:type="dxa"/>
            <w:vAlign w:val="center"/>
            <w:textDirection w:val="lrTb"/>
            <w:noWrap w:val="false"/>
          </w:tcPr>
          <w:p>
            <w:pPr>
              <w:ind w:left="63" w:right="63" w:firstLine="0"/>
              <w:jc w:val="center"/>
              <w:spacing w:before="0" w:after="0"/>
              <w:tabs>
                <w:tab w:val="left" w:pos="1160" w:leader="none"/>
                <w:tab w:val="left" w:pos="242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11"/>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513" w:type="dxa"/>
            <w:vAlign w:val="center"/>
            <w:textDirection w:val="lrTb"/>
            <w:noWrap w:val="false"/>
          </w:tcPr>
          <w:p>
            <w:pPr>
              <w:ind w:left="63" w:right="63" w:firstLine="0"/>
              <w:jc w:val="center"/>
              <w:spacing w:before="0" w:after="0"/>
              <w:tabs>
                <w:tab w:val="left" w:pos="1160" w:leader="none"/>
                <w:tab w:val="left" w:pos="242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造价管理</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18" w:type="dxa"/>
            <w:vAlign w:val="center"/>
            <w:textDirection w:val="lrTb"/>
            <w:noWrap w:val="false"/>
          </w:tcPr>
          <w:p>
            <w:pPr>
              <w:ind w:left="63" w:right="63" w:firstLine="0"/>
              <w:jc w:val="center"/>
              <w:spacing w:before="0" w:after="0"/>
              <w:tabs>
                <w:tab w:val="left" w:pos="1160" w:leader="none"/>
                <w:tab w:val="left" w:pos="242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5" w:type="dxa"/>
            <w:vAlign w:val="center"/>
            <w:textDirection w:val="lrTb"/>
            <w:noWrap w:val="false"/>
          </w:tcPr>
          <w:p>
            <w:pPr>
              <w:ind w:left="63" w:right="63" w:firstLine="0"/>
              <w:jc w:val="center"/>
              <w:spacing w:before="0" w:after="0"/>
              <w:tabs>
                <w:tab w:val="left" w:pos="1160" w:leader="none"/>
                <w:tab w:val="left" w:pos="242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513" w:type="dxa"/>
            <w:vAlign w:val="center"/>
            <w:textDirection w:val="lrTb"/>
            <w:noWrap w:val="false"/>
          </w:tcPr>
          <w:p>
            <w:pPr>
              <w:ind w:left="63" w:right="63" w:firstLine="0"/>
              <w:jc w:val="center"/>
              <w:spacing w:before="0" w:after="0"/>
              <w:tabs>
                <w:tab w:val="left" w:pos="1160" w:leader="none"/>
                <w:tab w:val="left" w:pos="242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050" w:type="dxa"/>
            <w:vAlign w:val="center"/>
            <w:textDirection w:val="lrTb"/>
            <w:noWrap w:val="false"/>
          </w:tcPr>
          <w:p>
            <w:pPr>
              <w:ind w:left="63" w:right="63" w:firstLine="0"/>
              <w:jc w:val="center"/>
              <w:spacing w:before="0" w:after="0"/>
              <w:tabs>
                <w:tab w:val="left" w:pos="1160" w:leader="none"/>
                <w:tab w:val="left" w:pos="242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11"/>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513" w:type="dxa"/>
            <w:vAlign w:val="center"/>
            <w:textDirection w:val="lrTb"/>
            <w:noWrap w:val="false"/>
          </w:tcPr>
          <w:p>
            <w:pPr>
              <w:ind w:left="63" w:right="63" w:firstLine="0"/>
              <w:jc w:val="center"/>
              <w:spacing w:before="0" w:after="0"/>
              <w:tabs>
                <w:tab w:val="left" w:pos="1160" w:leader="none"/>
                <w:tab w:val="left" w:pos="242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质量管理</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18" w:type="dxa"/>
            <w:vAlign w:val="center"/>
            <w:textDirection w:val="lrTb"/>
            <w:noWrap w:val="false"/>
          </w:tcPr>
          <w:p>
            <w:pPr>
              <w:ind w:left="63" w:right="63" w:firstLine="0"/>
              <w:jc w:val="center"/>
              <w:spacing w:before="0" w:after="0"/>
              <w:tabs>
                <w:tab w:val="left" w:pos="1160" w:leader="none"/>
                <w:tab w:val="left" w:pos="242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5" w:type="dxa"/>
            <w:vAlign w:val="center"/>
            <w:textDirection w:val="lrTb"/>
            <w:noWrap w:val="false"/>
          </w:tcPr>
          <w:p>
            <w:pPr>
              <w:ind w:left="63" w:right="63" w:firstLine="0"/>
              <w:jc w:val="center"/>
              <w:spacing w:before="0" w:after="0"/>
              <w:tabs>
                <w:tab w:val="left" w:pos="1160" w:leader="none"/>
                <w:tab w:val="left" w:pos="242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513" w:type="dxa"/>
            <w:vAlign w:val="center"/>
            <w:textDirection w:val="lrTb"/>
            <w:noWrap w:val="false"/>
          </w:tcPr>
          <w:p>
            <w:pPr>
              <w:ind w:left="63" w:right="63" w:firstLine="0"/>
              <w:jc w:val="center"/>
              <w:spacing w:before="0" w:after="0"/>
              <w:tabs>
                <w:tab w:val="left" w:pos="1160" w:leader="none"/>
                <w:tab w:val="left" w:pos="242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050" w:type="dxa"/>
            <w:vAlign w:val="center"/>
            <w:textDirection w:val="lrTb"/>
            <w:noWrap w:val="false"/>
          </w:tcPr>
          <w:p>
            <w:pPr>
              <w:ind w:left="63" w:right="63" w:firstLine="0"/>
              <w:jc w:val="center"/>
              <w:spacing w:before="0" w:after="0"/>
              <w:tabs>
                <w:tab w:val="left" w:pos="1160" w:leader="none"/>
                <w:tab w:val="left" w:pos="242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11"/>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513" w:type="dxa"/>
            <w:vAlign w:val="center"/>
            <w:textDirection w:val="lrTb"/>
            <w:noWrap w:val="false"/>
          </w:tcPr>
          <w:p>
            <w:pPr>
              <w:ind w:left="63" w:right="63" w:firstLine="0"/>
              <w:jc w:val="center"/>
              <w:spacing w:before="0" w:after="0"/>
              <w:tabs>
                <w:tab w:val="left" w:pos="1160" w:leader="none"/>
                <w:tab w:val="left" w:pos="242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材料管理</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18" w:type="dxa"/>
            <w:vAlign w:val="center"/>
            <w:textDirection w:val="lrTb"/>
            <w:noWrap w:val="false"/>
          </w:tcPr>
          <w:p>
            <w:pPr>
              <w:ind w:left="63" w:right="63" w:firstLine="0"/>
              <w:jc w:val="center"/>
              <w:spacing w:before="0" w:after="0"/>
              <w:tabs>
                <w:tab w:val="left" w:pos="1160" w:leader="none"/>
                <w:tab w:val="left" w:pos="242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5" w:type="dxa"/>
            <w:vAlign w:val="center"/>
            <w:textDirection w:val="lrTb"/>
            <w:noWrap w:val="false"/>
          </w:tcPr>
          <w:p>
            <w:pPr>
              <w:ind w:left="63" w:right="63" w:firstLine="0"/>
              <w:jc w:val="center"/>
              <w:spacing w:before="0" w:after="0"/>
              <w:tabs>
                <w:tab w:val="left" w:pos="1160" w:leader="none"/>
                <w:tab w:val="left" w:pos="242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513" w:type="dxa"/>
            <w:vAlign w:val="center"/>
            <w:textDirection w:val="lrTb"/>
            <w:noWrap w:val="false"/>
          </w:tcPr>
          <w:p>
            <w:pPr>
              <w:ind w:left="63" w:right="63" w:firstLine="0"/>
              <w:jc w:val="center"/>
              <w:spacing w:before="0" w:after="0"/>
              <w:tabs>
                <w:tab w:val="left" w:pos="1160" w:leader="none"/>
                <w:tab w:val="left" w:pos="242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050" w:type="dxa"/>
            <w:vAlign w:val="center"/>
            <w:textDirection w:val="lrTb"/>
            <w:noWrap w:val="false"/>
          </w:tcPr>
          <w:p>
            <w:pPr>
              <w:ind w:left="63" w:right="63" w:firstLine="0"/>
              <w:jc w:val="center"/>
              <w:spacing w:before="0" w:after="0"/>
              <w:tabs>
                <w:tab w:val="left" w:pos="1160" w:leader="none"/>
                <w:tab w:val="left" w:pos="242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11"/>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513" w:type="dxa"/>
            <w:vAlign w:val="center"/>
            <w:textDirection w:val="lrTb"/>
            <w:noWrap w:val="false"/>
          </w:tcPr>
          <w:p>
            <w:pPr>
              <w:ind w:left="63" w:right="63" w:firstLine="0"/>
              <w:jc w:val="center"/>
              <w:spacing w:before="0" w:after="0"/>
              <w:tabs>
                <w:tab w:val="left" w:pos="1160" w:leader="none"/>
                <w:tab w:val="left" w:pos="242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计划管理</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18" w:type="dxa"/>
            <w:vAlign w:val="center"/>
            <w:textDirection w:val="lrTb"/>
            <w:noWrap w:val="false"/>
          </w:tcPr>
          <w:p>
            <w:pPr>
              <w:ind w:left="63" w:right="63" w:firstLine="0"/>
              <w:jc w:val="center"/>
              <w:spacing w:before="0" w:after="0"/>
              <w:tabs>
                <w:tab w:val="left" w:pos="1160" w:leader="none"/>
                <w:tab w:val="left" w:pos="242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5" w:type="dxa"/>
            <w:vAlign w:val="center"/>
            <w:textDirection w:val="lrTb"/>
            <w:noWrap w:val="false"/>
          </w:tcPr>
          <w:p>
            <w:pPr>
              <w:ind w:left="63" w:right="63" w:firstLine="0"/>
              <w:jc w:val="center"/>
              <w:spacing w:before="0" w:after="0"/>
              <w:tabs>
                <w:tab w:val="left" w:pos="1160" w:leader="none"/>
                <w:tab w:val="left" w:pos="242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513" w:type="dxa"/>
            <w:vAlign w:val="center"/>
            <w:textDirection w:val="lrTb"/>
            <w:noWrap w:val="false"/>
          </w:tcPr>
          <w:p>
            <w:pPr>
              <w:ind w:left="63" w:right="63" w:firstLine="0"/>
              <w:jc w:val="center"/>
              <w:spacing w:before="0" w:after="0"/>
              <w:tabs>
                <w:tab w:val="left" w:pos="1160" w:leader="none"/>
                <w:tab w:val="left" w:pos="242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050" w:type="dxa"/>
            <w:vAlign w:val="center"/>
            <w:textDirection w:val="lrTb"/>
            <w:noWrap w:val="false"/>
          </w:tcPr>
          <w:p>
            <w:pPr>
              <w:ind w:left="63" w:right="63" w:firstLine="0"/>
              <w:jc w:val="center"/>
              <w:spacing w:before="0" w:after="0"/>
              <w:tabs>
                <w:tab w:val="left" w:pos="1160" w:leader="none"/>
                <w:tab w:val="left" w:pos="242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11"/>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513" w:type="dxa"/>
            <w:vAlign w:val="center"/>
            <w:textDirection w:val="lrTb"/>
            <w:noWrap w:val="false"/>
          </w:tcPr>
          <w:p>
            <w:pPr>
              <w:ind w:left="63" w:right="63" w:firstLine="0"/>
              <w:jc w:val="center"/>
              <w:spacing w:before="0" w:after="0"/>
              <w:tabs>
                <w:tab w:val="left" w:pos="1160" w:leader="none"/>
                <w:tab w:val="left" w:pos="242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安全管理</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18" w:type="dxa"/>
            <w:vAlign w:val="center"/>
            <w:textDirection w:val="lrTb"/>
            <w:noWrap w:val="false"/>
          </w:tcPr>
          <w:p>
            <w:pPr>
              <w:ind w:left="63" w:right="63" w:firstLine="0"/>
              <w:jc w:val="center"/>
              <w:spacing w:before="0" w:after="0"/>
              <w:tabs>
                <w:tab w:val="left" w:pos="1160" w:leader="none"/>
                <w:tab w:val="left" w:pos="242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5" w:type="dxa"/>
            <w:vAlign w:val="center"/>
            <w:textDirection w:val="lrTb"/>
            <w:noWrap w:val="false"/>
          </w:tcPr>
          <w:p>
            <w:pPr>
              <w:ind w:left="63" w:right="63" w:firstLine="0"/>
              <w:jc w:val="center"/>
              <w:spacing w:before="0" w:after="0"/>
              <w:tabs>
                <w:tab w:val="left" w:pos="1160" w:leader="none"/>
                <w:tab w:val="left" w:pos="242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513" w:type="dxa"/>
            <w:vAlign w:val="center"/>
            <w:textDirection w:val="lrTb"/>
            <w:noWrap w:val="false"/>
          </w:tcPr>
          <w:p>
            <w:pPr>
              <w:ind w:left="63" w:right="63" w:firstLine="0"/>
              <w:jc w:val="center"/>
              <w:spacing w:before="0" w:after="0"/>
              <w:tabs>
                <w:tab w:val="left" w:pos="1160" w:leader="none"/>
                <w:tab w:val="left" w:pos="242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050" w:type="dxa"/>
            <w:vAlign w:val="center"/>
            <w:textDirection w:val="lrTb"/>
            <w:noWrap w:val="false"/>
          </w:tcPr>
          <w:p>
            <w:pPr>
              <w:ind w:left="63" w:right="63" w:firstLine="0"/>
              <w:jc w:val="center"/>
              <w:spacing w:before="0" w:after="0"/>
              <w:tabs>
                <w:tab w:val="left" w:pos="1160" w:leader="none"/>
                <w:tab w:val="left" w:pos="242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11"/>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513" w:type="dxa"/>
            <w:vAlign w:val="center"/>
            <w:textDirection w:val="lrTb"/>
            <w:noWrap w:val="false"/>
          </w:tcPr>
          <w:p>
            <w:pPr>
              <w:ind w:left="63" w:right="63" w:firstLine="0"/>
              <w:jc w:val="center"/>
              <w:spacing w:before="0" w:after="0"/>
              <w:tabs>
                <w:tab w:val="left" w:pos="1160" w:leader="none"/>
                <w:tab w:val="left" w:pos="242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施工员管理</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18" w:type="dxa"/>
            <w:vAlign w:val="center"/>
            <w:textDirection w:val="lrTb"/>
            <w:noWrap w:val="false"/>
          </w:tcPr>
          <w:p>
            <w:pPr>
              <w:ind w:left="63" w:right="63" w:firstLine="0"/>
              <w:jc w:val="center"/>
              <w:spacing w:before="0" w:after="0"/>
              <w:tabs>
                <w:tab w:val="left" w:pos="1160" w:leader="none"/>
                <w:tab w:val="left" w:pos="242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5" w:type="dxa"/>
            <w:vAlign w:val="center"/>
            <w:textDirection w:val="lrTb"/>
            <w:noWrap w:val="false"/>
          </w:tcPr>
          <w:p>
            <w:pPr>
              <w:ind w:left="63" w:right="63" w:firstLine="0"/>
              <w:jc w:val="center"/>
              <w:spacing w:before="0" w:after="0"/>
              <w:tabs>
                <w:tab w:val="left" w:pos="1160" w:leader="none"/>
                <w:tab w:val="left" w:pos="242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513" w:type="dxa"/>
            <w:vAlign w:val="center"/>
            <w:textDirection w:val="lrTb"/>
            <w:noWrap w:val="false"/>
          </w:tcPr>
          <w:p>
            <w:pPr>
              <w:ind w:left="63" w:right="63" w:firstLine="0"/>
              <w:jc w:val="center"/>
              <w:spacing w:before="0" w:after="0"/>
              <w:tabs>
                <w:tab w:val="left" w:pos="1160" w:leader="none"/>
                <w:tab w:val="left" w:pos="242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050" w:type="dxa"/>
            <w:vAlign w:val="center"/>
            <w:textDirection w:val="lrTb"/>
            <w:noWrap w:val="false"/>
          </w:tcPr>
          <w:p>
            <w:pPr>
              <w:ind w:left="63" w:right="63" w:firstLine="0"/>
              <w:jc w:val="center"/>
              <w:spacing w:before="0" w:after="0"/>
              <w:tabs>
                <w:tab w:val="left" w:pos="1160" w:leader="none"/>
                <w:tab w:val="left" w:pos="242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11"/>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513" w:type="dxa"/>
            <w:vAlign w:val="center"/>
            <w:vMerge w:val="restart"/>
            <w:textDirection w:val="lrTb"/>
            <w:noWrap w:val="false"/>
          </w:tcPr>
          <w:p>
            <w:pPr>
              <w:ind w:left="63" w:right="63" w:firstLine="0"/>
              <w:jc w:val="center"/>
              <w:spacing w:before="0" w:after="0"/>
              <w:tabs>
                <w:tab w:val="left" w:pos="1160" w:leader="none"/>
                <w:tab w:val="left" w:pos="242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其他人员</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18" w:type="dxa"/>
            <w:vAlign w:val="center"/>
            <w:textDirection w:val="lrTb"/>
            <w:noWrap w:val="false"/>
          </w:tcPr>
          <w:p>
            <w:pPr>
              <w:ind w:left="63" w:right="63" w:firstLine="0"/>
              <w:jc w:val="center"/>
              <w:spacing w:before="0" w:after="0"/>
              <w:tabs>
                <w:tab w:val="left" w:pos="1160" w:leader="none"/>
                <w:tab w:val="left" w:pos="242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5" w:type="dxa"/>
            <w:vAlign w:val="center"/>
            <w:textDirection w:val="lrTb"/>
            <w:noWrap w:val="false"/>
          </w:tcPr>
          <w:p>
            <w:pPr>
              <w:ind w:left="63" w:right="63" w:firstLine="0"/>
              <w:jc w:val="center"/>
              <w:spacing w:before="0" w:after="0"/>
              <w:tabs>
                <w:tab w:val="left" w:pos="1160" w:leader="none"/>
                <w:tab w:val="left" w:pos="242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513" w:type="dxa"/>
            <w:vAlign w:val="center"/>
            <w:textDirection w:val="lrTb"/>
            <w:noWrap w:val="false"/>
          </w:tcPr>
          <w:p>
            <w:pPr>
              <w:ind w:left="63" w:right="63" w:firstLine="0"/>
              <w:jc w:val="center"/>
              <w:spacing w:before="0" w:after="0"/>
              <w:tabs>
                <w:tab w:val="left" w:pos="1160" w:leader="none"/>
                <w:tab w:val="left" w:pos="242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050" w:type="dxa"/>
            <w:vAlign w:val="center"/>
            <w:textDirection w:val="lrTb"/>
            <w:noWrap w:val="false"/>
          </w:tcPr>
          <w:p>
            <w:pPr>
              <w:ind w:left="63" w:right="63" w:firstLine="0"/>
              <w:jc w:val="center"/>
              <w:spacing w:before="0" w:after="0"/>
              <w:tabs>
                <w:tab w:val="left" w:pos="1160" w:leader="none"/>
                <w:tab w:val="left" w:pos="242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11"/>
        </w:trPr>
        <w:tc>
          <w:tcPr>
            <w:vMerge w:val="continue"/>
            <w:textDirection w:val="lrTb"/>
            <w:noWrap w:val="false"/>
          </w:tcPr>
          <w:p>
            <w:r/>
            <w:r/>
          </w:p>
        </w:tc>
        <w:tc>
          <w:tcPr>
            <w:tcBorders>
              <w:top w:val="single" w:color="000000" w:sz="8" w:space="0"/>
              <w:left w:val="single" w:color="000000" w:sz="8" w:space="0"/>
              <w:bottom w:val="none" w:color="000000" w:sz="4" w:space="0"/>
              <w:right w:val="single" w:color="000000" w:sz="8" w:space="0"/>
            </w:tcBorders>
            <w:tcMar>
              <w:left w:w="28" w:type="dxa"/>
              <w:top w:w="0" w:type="dxa"/>
              <w:right w:w="28" w:type="dxa"/>
              <w:bottom w:w="0" w:type="dxa"/>
            </w:tcMar>
            <w:tcW w:w="1218" w:type="dxa"/>
            <w:vAlign w:val="center"/>
            <w:textDirection w:val="lrTb"/>
            <w:noWrap w:val="false"/>
          </w:tcPr>
          <w:p>
            <w:pPr>
              <w:ind w:left="63" w:right="63" w:firstLine="0"/>
              <w:jc w:val="both"/>
              <w:spacing w:before="0" w:after="0" w:line="85" w:lineRule="atLeast"/>
              <w:tabs>
                <w:tab w:val="left" w:pos="1160" w:leader="none"/>
                <w:tab w:val="left" w:pos="242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none" w:color="000000" w:sz="4" w:space="0"/>
              <w:right w:val="single" w:color="000000" w:sz="8" w:space="0"/>
            </w:tcBorders>
            <w:tcMar>
              <w:left w:w="28" w:type="dxa"/>
              <w:top w:w="0" w:type="dxa"/>
              <w:right w:w="28" w:type="dxa"/>
              <w:bottom w:w="0" w:type="dxa"/>
            </w:tcMar>
            <w:tcW w:w="1005" w:type="dxa"/>
            <w:vAlign w:val="center"/>
            <w:textDirection w:val="lrTb"/>
            <w:noWrap w:val="false"/>
          </w:tcPr>
          <w:p>
            <w:pPr>
              <w:ind w:left="63" w:right="63" w:firstLine="0"/>
              <w:jc w:val="both"/>
              <w:spacing w:before="0" w:after="0" w:line="85" w:lineRule="atLeast"/>
              <w:tabs>
                <w:tab w:val="left" w:pos="1160" w:leader="none"/>
                <w:tab w:val="left" w:pos="242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none" w:color="000000" w:sz="4" w:space="0"/>
              <w:right w:val="single" w:color="000000" w:sz="8" w:space="0"/>
            </w:tcBorders>
            <w:tcMar>
              <w:left w:w="28" w:type="dxa"/>
              <w:top w:w="0" w:type="dxa"/>
              <w:right w:w="28" w:type="dxa"/>
              <w:bottom w:w="0" w:type="dxa"/>
            </w:tcMar>
            <w:tcW w:w="1513" w:type="dxa"/>
            <w:vAlign w:val="center"/>
            <w:textDirection w:val="lrTb"/>
            <w:noWrap w:val="false"/>
          </w:tcPr>
          <w:p>
            <w:pPr>
              <w:ind w:left="63" w:right="63" w:firstLine="0"/>
              <w:jc w:val="both"/>
              <w:spacing w:before="0" w:after="0" w:line="85" w:lineRule="atLeast"/>
              <w:tabs>
                <w:tab w:val="left" w:pos="1160" w:leader="none"/>
                <w:tab w:val="left" w:pos="242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none" w:color="000000" w:sz="4" w:space="0"/>
              <w:right w:val="single" w:color="000000" w:sz="12" w:space="0"/>
            </w:tcBorders>
            <w:tcMar>
              <w:left w:w="28" w:type="dxa"/>
              <w:top w:w="0" w:type="dxa"/>
              <w:right w:w="28" w:type="dxa"/>
              <w:bottom w:w="0" w:type="dxa"/>
            </w:tcMar>
            <w:tcW w:w="3050" w:type="dxa"/>
            <w:vAlign w:val="center"/>
            <w:textDirection w:val="lrTb"/>
            <w:noWrap w:val="false"/>
          </w:tcPr>
          <w:p>
            <w:pPr>
              <w:ind w:left="63" w:right="63" w:firstLine="0"/>
              <w:jc w:val="both"/>
              <w:spacing w:before="0" w:after="0" w:line="85" w:lineRule="atLeast"/>
              <w:tabs>
                <w:tab w:val="left" w:pos="1160" w:leader="none"/>
                <w:tab w:val="left" w:pos="242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11"/>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18" w:type="dxa"/>
            <w:vAlign w:val="center"/>
            <w:textDirection w:val="lrTb"/>
            <w:noWrap w:val="false"/>
          </w:tcPr>
          <w:p>
            <w:pPr>
              <w:ind w:left="63" w:right="63" w:firstLine="0"/>
              <w:jc w:val="both"/>
              <w:spacing w:before="0" w:after="0" w:line="85" w:lineRule="atLeast"/>
              <w:tabs>
                <w:tab w:val="left" w:pos="1160" w:leader="none"/>
                <w:tab w:val="left" w:pos="242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5" w:type="dxa"/>
            <w:vAlign w:val="center"/>
            <w:textDirection w:val="lrTb"/>
            <w:noWrap w:val="false"/>
          </w:tcPr>
          <w:p>
            <w:pPr>
              <w:ind w:left="63" w:right="63" w:firstLine="0"/>
              <w:jc w:val="both"/>
              <w:spacing w:before="0" w:after="0" w:line="85" w:lineRule="atLeast"/>
              <w:tabs>
                <w:tab w:val="left" w:pos="1160" w:leader="none"/>
                <w:tab w:val="left" w:pos="242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513" w:type="dxa"/>
            <w:vAlign w:val="center"/>
            <w:textDirection w:val="lrTb"/>
            <w:noWrap w:val="false"/>
          </w:tcPr>
          <w:p>
            <w:pPr>
              <w:ind w:left="63" w:right="63" w:firstLine="0"/>
              <w:jc w:val="both"/>
              <w:spacing w:before="0" w:after="0" w:line="85" w:lineRule="atLeast"/>
              <w:tabs>
                <w:tab w:val="left" w:pos="1160" w:leader="none"/>
                <w:tab w:val="left" w:pos="242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050" w:type="dxa"/>
            <w:vAlign w:val="center"/>
            <w:textDirection w:val="lrTb"/>
            <w:noWrap w:val="false"/>
          </w:tcPr>
          <w:p>
            <w:pPr>
              <w:ind w:left="63" w:right="63" w:firstLine="0"/>
              <w:jc w:val="both"/>
              <w:spacing w:before="0" w:after="0" w:line="85" w:lineRule="atLeast"/>
              <w:tabs>
                <w:tab w:val="left" w:pos="1160" w:leader="none"/>
                <w:tab w:val="left" w:pos="242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11"/>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18" w:type="dxa"/>
            <w:vAlign w:val="center"/>
            <w:textDirection w:val="lrTb"/>
            <w:noWrap w:val="false"/>
          </w:tcPr>
          <w:p>
            <w:pPr>
              <w:ind w:left="63" w:right="63" w:firstLine="0"/>
              <w:jc w:val="both"/>
              <w:spacing w:before="0" w:after="0" w:line="85" w:lineRule="atLeast"/>
              <w:tabs>
                <w:tab w:val="left" w:pos="1160" w:leader="none"/>
                <w:tab w:val="left" w:pos="242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5" w:type="dxa"/>
            <w:vAlign w:val="center"/>
            <w:textDirection w:val="lrTb"/>
            <w:noWrap w:val="false"/>
          </w:tcPr>
          <w:p>
            <w:pPr>
              <w:ind w:left="63" w:right="63" w:firstLine="0"/>
              <w:jc w:val="both"/>
              <w:spacing w:before="0" w:after="0" w:line="85" w:lineRule="atLeast"/>
              <w:tabs>
                <w:tab w:val="left" w:pos="1160" w:leader="none"/>
                <w:tab w:val="left" w:pos="242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513" w:type="dxa"/>
            <w:vAlign w:val="center"/>
            <w:textDirection w:val="lrTb"/>
            <w:noWrap w:val="false"/>
          </w:tcPr>
          <w:p>
            <w:pPr>
              <w:ind w:left="63" w:right="63" w:firstLine="0"/>
              <w:jc w:val="both"/>
              <w:spacing w:before="0" w:after="0" w:line="85" w:lineRule="atLeast"/>
              <w:tabs>
                <w:tab w:val="left" w:pos="1160" w:leader="none"/>
                <w:tab w:val="left" w:pos="242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050" w:type="dxa"/>
            <w:vAlign w:val="center"/>
            <w:textDirection w:val="lrTb"/>
            <w:noWrap w:val="false"/>
          </w:tcPr>
          <w:p>
            <w:pPr>
              <w:ind w:left="63" w:right="63" w:firstLine="0"/>
              <w:jc w:val="both"/>
              <w:spacing w:before="0" w:after="0" w:line="85" w:lineRule="atLeast"/>
              <w:tabs>
                <w:tab w:val="left" w:pos="1160" w:leader="none"/>
                <w:tab w:val="left" w:pos="242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11"/>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18" w:type="dxa"/>
            <w:vAlign w:val="center"/>
            <w:textDirection w:val="lrTb"/>
            <w:noWrap w:val="false"/>
          </w:tcPr>
          <w:p>
            <w:pPr>
              <w:ind w:left="63" w:right="63" w:firstLine="0"/>
              <w:jc w:val="both"/>
              <w:spacing w:before="0" w:after="0" w:line="85" w:lineRule="atLeast"/>
              <w:tabs>
                <w:tab w:val="left" w:pos="1160" w:leader="none"/>
                <w:tab w:val="left" w:pos="242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5" w:type="dxa"/>
            <w:vAlign w:val="center"/>
            <w:textDirection w:val="lrTb"/>
            <w:noWrap w:val="false"/>
          </w:tcPr>
          <w:p>
            <w:pPr>
              <w:ind w:left="63" w:right="63" w:firstLine="0"/>
              <w:jc w:val="both"/>
              <w:spacing w:before="0" w:after="0" w:line="85" w:lineRule="atLeast"/>
              <w:tabs>
                <w:tab w:val="left" w:pos="1160" w:leader="none"/>
                <w:tab w:val="left" w:pos="242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513" w:type="dxa"/>
            <w:vAlign w:val="center"/>
            <w:textDirection w:val="lrTb"/>
            <w:noWrap w:val="false"/>
          </w:tcPr>
          <w:p>
            <w:pPr>
              <w:ind w:left="63" w:right="63" w:firstLine="0"/>
              <w:jc w:val="both"/>
              <w:spacing w:before="0" w:after="0" w:line="85" w:lineRule="atLeast"/>
              <w:tabs>
                <w:tab w:val="left" w:pos="1160" w:leader="none"/>
                <w:tab w:val="left" w:pos="242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050" w:type="dxa"/>
            <w:vAlign w:val="center"/>
            <w:textDirection w:val="lrTb"/>
            <w:noWrap w:val="false"/>
          </w:tcPr>
          <w:p>
            <w:pPr>
              <w:ind w:left="63" w:right="63" w:firstLine="0"/>
              <w:jc w:val="both"/>
              <w:spacing w:before="0" w:after="0" w:line="85" w:lineRule="atLeast"/>
              <w:tabs>
                <w:tab w:val="left" w:pos="1160" w:leader="none"/>
                <w:tab w:val="left" w:pos="242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43"/>
        </w:trPr>
        <w:tc>
          <w:tcPr>
            <w:vMerge w:val="continue"/>
            <w:textDirection w:val="lrTb"/>
            <w:noWrap w:val="false"/>
          </w:tcPr>
          <w:p>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218" w:type="dxa"/>
            <w:vAlign w:val="center"/>
            <w:textDirection w:val="lrTb"/>
            <w:noWrap w:val="false"/>
          </w:tcPr>
          <w:p>
            <w:pPr>
              <w:ind w:left="63" w:right="63" w:firstLine="0"/>
              <w:jc w:val="both"/>
              <w:spacing w:before="0" w:after="0" w:line="85" w:lineRule="atLeast"/>
              <w:tabs>
                <w:tab w:val="left" w:pos="1160" w:leader="none"/>
                <w:tab w:val="left" w:pos="242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005" w:type="dxa"/>
            <w:vAlign w:val="center"/>
            <w:textDirection w:val="lrTb"/>
            <w:noWrap w:val="false"/>
          </w:tcPr>
          <w:p>
            <w:pPr>
              <w:ind w:left="63" w:right="63" w:firstLine="0"/>
              <w:jc w:val="both"/>
              <w:spacing w:before="0" w:after="0" w:line="85" w:lineRule="atLeast"/>
              <w:tabs>
                <w:tab w:val="left" w:pos="1160" w:leader="none"/>
                <w:tab w:val="left" w:pos="242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513" w:type="dxa"/>
            <w:vAlign w:val="center"/>
            <w:textDirection w:val="lrTb"/>
            <w:noWrap w:val="false"/>
          </w:tcPr>
          <w:p>
            <w:pPr>
              <w:ind w:left="63" w:right="63" w:firstLine="0"/>
              <w:jc w:val="both"/>
              <w:spacing w:before="0" w:after="0" w:line="85" w:lineRule="atLeast"/>
              <w:tabs>
                <w:tab w:val="left" w:pos="1160" w:leader="none"/>
                <w:tab w:val="left" w:pos="242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12" w:space="0"/>
              <w:right w:val="single" w:color="000000" w:sz="12" w:space="0"/>
            </w:tcBorders>
            <w:tcMar>
              <w:left w:w="28" w:type="dxa"/>
              <w:top w:w="0" w:type="dxa"/>
              <w:right w:w="28" w:type="dxa"/>
              <w:bottom w:w="0" w:type="dxa"/>
            </w:tcMar>
            <w:tcW w:w="3050" w:type="dxa"/>
            <w:vAlign w:val="center"/>
            <w:textDirection w:val="lrTb"/>
            <w:noWrap w:val="false"/>
          </w:tcPr>
          <w:p>
            <w:pPr>
              <w:ind w:left="63" w:right="63" w:firstLine="0"/>
              <w:jc w:val="both"/>
              <w:spacing w:before="0" w:after="0" w:line="85" w:lineRule="atLeast"/>
              <w:tabs>
                <w:tab w:val="left" w:pos="1160" w:leader="none"/>
                <w:tab w:val="left" w:pos="242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附件3</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中标人诚信承诺书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我单位系</w:t>
      </w:r>
      <w:r>
        <w:rPr>
          <w:rFonts w:ascii="SimSun" w:hAnsi="SimSun" w:eastAsia="SimSun" w:cs="SimSun"/>
          <w:color w:val="000000"/>
          <w:sz w:val="21"/>
          <w:u w:val="single"/>
        </w:rPr>
        <w:t xml:space="preserve">              （中标人）</w:t>
      </w:r>
      <w:r>
        <w:rPr>
          <w:rFonts w:ascii="SimSun" w:hAnsi="SimSun" w:eastAsia="SimSun" w:cs="SimSun"/>
          <w:color w:val="000000"/>
          <w:sz w:val="21"/>
        </w:rPr>
        <w:t xml:space="preserve">作为</w:t>
      </w:r>
      <w:r>
        <w:rPr>
          <w:rFonts w:ascii="SimSun" w:hAnsi="SimSun" w:eastAsia="SimSun" w:cs="SimSun"/>
          <w:color w:val="000000"/>
          <w:sz w:val="21"/>
          <w:u w:val="single"/>
        </w:rPr>
        <w:t xml:space="preserve"> </w:t>
      </w:r>
      <w:r>
        <w:rPr>
          <w:rFonts w:ascii="SimSun" w:hAnsi="SimSun" w:eastAsia="SimSun" w:cs="SimSun"/>
          <w:b/>
          <w:color w:val="000000"/>
          <w:sz w:val="21"/>
          <w:u w:val="single"/>
        </w:rPr>
        <w:t xml:space="preserve">赣榆区青口镇人民政府 </w:t>
      </w:r>
      <w:r>
        <w:rPr>
          <w:rFonts w:ascii="SimSun" w:hAnsi="SimSun" w:eastAsia="SimSun" w:cs="SimSun"/>
          <w:color w:val="000000"/>
          <w:sz w:val="21"/>
        </w:rPr>
        <w:t xml:space="preserve">的 </w:t>
      </w:r>
      <w:r>
        <w:rPr>
          <w:rFonts w:ascii="SimSun" w:hAnsi="SimSun" w:eastAsia="SimSun" w:cs="SimSun"/>
          <w:b/>
          <w:color w:val="000000"/>
          <w:sz w:val="21"/>
          <w:u w:val="single"/>
        </w:rPr>
        <w:t xml:space="preserve">青口十八勇士纪念馆改陈布展工程（政府采购工程）</w:t>
      </w:r>
      <w:r>
        <w:rPr>
          <w:rFonts w:ascii="SimSun" w:hAnsi="SimSun" w:eastAsia="SimSun" w:cs="SimSun"/>
          <w:color w:val="000000"/>
          <w:sz w:val="21"/>
        </w:rPr>
        <w:t xml:space="preserve">的中标人，我单位郑重承诺，我单位在该项目标段的投标工作中所出具的有关文件资料（如单位资质证书、建造师证书、单位及建造师业绩证明等）均是真实有效的，我单位对该中标标段拟派遣建造师</w:t>
      </w:r>
      <w:r>
        <w:rPr>
          <w:rFonts w:ascii="SimSun" w:hAnsi="SimSun" w:eastAsia="SimSun" w:cs="SimSun"/>
          <w:color w:val="000000"/>
          <w:sz w:val="21"/>
          <w:u w:val="single"/>
        </w:rPr>
        <w:t xml:space="preserve">        </w:t>
      </w:r>
      <w:r>
        <w:rPr>
          <w:rFonts w:ascii="SimSun" w:hAnsi="SimSun" w:eastAsia="SimSun" w:cs="SimSun"/>
          <w:color w:val="000000"/>
          <w:sz w:val="21"/>
        </w:rPr>
        <w:t xml:space="preserve">将严格按照响应文件及合同约定的内容、期限等积极到场开展工作，若我单位投标过程中提供的资审资料及响应文件有伪造事实以及建造师未按合同约定开展现场工作，经查实后，我单位愿意接受相关法律的处罚，并承担作为不良行为公示所产生的一切后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440" w:firstLine="30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440" w:firstLine="30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440" w:firstLine="30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建造师签字：</w:t>
      </w:r>
      <w:r/>
    </w:p>
    <w:p>
      <w:pPr>
        <w:ind w:left="0" w:right="440" w:firstLine="30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440" w:firstLine="30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中标人法人代表签字：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440" w:firstLine="30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附件4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工程安全环境管理协议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w:t>
      </w:r>
      <w:r>
        <w:rPr>
          <w:rFonts w:ascii="SimSun" w:hAnsi="SimSun" w:eastAsia="SimSun" w:cs="SimSun"/>
          <w:color w:val="000000"/>
          <w:sz w:val="21"/>
          <w:u w:val="single"/>
        </w:rPr>
        <w:t xml:space="preserve"> 赣榆区青口镇人民政府 </w:t>
      </w:r>
      <w:r>
        <w:rPr>
          <w:rFonts w:ascii="SimSun" w:hAnsi="SimSun" w:eastAsia="SimSun" w:cs="SimSun"/>
          <w:color w:val="000000"/>
          <w:sz w:val="21"/>
        </w:rPr>
        <w:t xml:space="preserve">（以下简称发包人）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w:t>
      </w:r>
      <w:r>
        <w:rPr>
          <w:rFonts w:ascii="SimSun" w:hAnsi="SimSun" w:eastAsia="SimSun" w:cs="SimSun"/>
          <w:color w:val="000000"/>
          <w:sz w:val="21"/>
          <w:u w:val="single"/>
        </w:rPr>
        <w:t xml:space="preserve">                                 </w:t>
      </w:r>
      <w:r>
        <w:rPr>
          <w:rFonts w:ascii="SimSun" w:hAnsi="SimSun" w:eastAsia="SimSun" w:cs="SimSun"/>
          <w:color w:val="000000"/>
          <w:sz w:val="21"/>
        </w:rPr>
        <w:t xml:space="preserve">（以下简称承包人）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工程项目名称：</w:t>
      </w:r>
      <w:r>
        <w:rPr>
          <w:rFonts w:ascii="SimSun" w:hAnsi="SimSun" w:eastAsia="SimSun" w:cs="SimSun"/>
          <w:color w:val="000000"/>
          <w:sz w:val="21"/>
          <w:u w:val="single"/>
        </w:rPr>
        <w:t xml:space="preserve">青口十八勇士纪念馆改陈布展工程（政府采购工程）</w:t>
      </w: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贯彻“安全第一，预防为主”的方针和“安全第一，以人为本”的管理思想，提高建设过程安健环管理水平，保障职工在劳动过程中的安全与健康。根据承包工程的有关安全环保管理规定和国家有关法律法规的规定，结合本工程特点，为明确双方职责，努力创建安全文明施工样板工程，双方签订本协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 安全文明施工管理目标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杜绝重伤及以上事故；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杜绝重大机械设备事故；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杜绝重大火灾事故；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杜绝负主要责任的重大交通事故；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杜绝重复发生相同性质的事故；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创建安全文明施工样板工程；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 杜绝重大设备损坏事故。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2 安全文明施工和环境管理执行标准：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以下标准双方均应认真执行：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《建设工程安全生产管理条例》；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国家有关部、委、各级政府部门和上级主管部门颁发的有关安全生产和环境保护工作的法令、法规、规定、制度；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 发包人有关安全文明施工及环境保护的规定、制度。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3 发包人的权利和义务：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发包人按有关规定对承包人的资质进行审查，确认承包人承包的工程与其资质相符合；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发包人在施工前负责审核承包人的施工组织设计；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 对承包人在施工中新增的施工人员，发包人有权按以上要求进行检查；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 施工前发包人有权对承包人的电动工器具、仪表等进行抽样检查；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 施工期间，发包人设专职安监人员负责联系、检查、督促承包人执行有关安全、防火规定，并协助检查和处理工程施工中有关的安全、防火工作、预防事故发生；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 发包人有协助承包人搞好安全生产、防火管理的义务。当承包人出现安全、文明施工严重失控情况下，发包人有权按照《建设工程安全生产管理条例》的要求做出停工整顿，限期整改、直到清退出场的决定；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 发包人不得要求承包人违反安全管理规定进行施工。因发包人原因导致事故由发包人承担责任；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 由发包人提供的机械设备、安全设施，在安装完毕提交使用前，发包人应配合承包人共同按规定验收，并做好验收及交付使用的书面手续。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4 承包人的权利和义务：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承包人需根据现场的实际开工情况，找出危险源，列出《风险源清单》，根据风险的大小，编制《施工现场工作风险评估》；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承包人应建立安全管理体系，明确在施工现场负责安全生产的领导。承包人必须配有专职安全员，专职安全人员的数量应按施工人员数量的3%配备。安全员应经专门培训考试合格，并持有相应上岗证或资质证书；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承包人必须建立安全管理制度，各级安全生产岗位责任制和定期安全检查、安全教育制度，包括各工种的安全操作规程、特种作业人员的考核制度等；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 承包人在项目施工开始前要根据《施工组织设计》或《安全施工方案（措施）》向施工人员进行安全技术交底；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 承包人必须严格按施工组织设计和有关安全要求规定组织施工。对有可能发生火灾、爆炸、触电、中毒、窒息、机械伤害、烧烫伤等危险或会引起严重设备事故的作业，承包人应制定专项施工安全技术措施；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4．6 承包人有关部门必须对施工人员进行安全生产制度及安全技术知识教育，增强职工法治观念，提高职工安全意识和自我保护能力，督促职工自觉遵守安全生产纪律、制度和法规；未接受安全教育和安全考核不合格者不得进入现场施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4．7 承包人施工人员应经安规考试合格后上岗；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4．8 承包人施工人员应对所在的施工区域、作业环境、操作设施设备、工器具等进行认真检查，发现隐患立即处理，落实整改措施；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4．9承包人在施工期间由于施工机械、工器具原因或使用操作不当而造成伤亡事故，由承包人负责；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4．10承包人对施工现场安全设施（如脚手架等）每天开工前必须检查，发现隐患及时整改；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11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4．12 承包人必须按规定为作业人员配备应有的劳动保护用品、用具。承包人所属人员的身体健康状况必须能满足所从事工作的要求；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2～3倍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贯彻“谁施工谁负责”的管理原则，发包人、承包人人员在施工期间造成伤亡、火警、火灾、电气、机械等重大事故（包括发包人、承包人责任造成对方人员、他方（行人等）人员伤亡），双方应协力进行紧急抢救伤员和保护现场，按国务院、交通运输部及地方有关事故报告规定，在事故发生后24小时内报告各自上级主管部门及省、市、区等有关部门。承包人人员施工中发生的不安全情况应及时向发包人通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7 其他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承包人工程施工方案中必须包括安全、健康、环保等措施，并贯彻落实到具体工作，确保施工安全及当地环境不受工程施工破坏；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施工过程中产生的废弃物、噪音等排放必须符合相关规定标准；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由于承包人施工破坏周围环境，造成恶劣影响引发纠纷和社会矛盾等由承包人承担全部责任；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 承包人按月（年）向发包人报送企业职工伤亡事故月（年）报告；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 对发包人组织的安全环境大检查、安全工作会议，承包人应及时派员参加，认真贯彻落实；</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本协议执行过程中如遇有与国家、交通运输部和地方政府的有关规定不一致时，按国家、交通运输部和地方政府的有关规定执行；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本协议经甲乙双方签字、盖章后生效，作为工程合同的附件与合同具有同等的法律效力；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甲乙双方必须严格执行本协议，因违反本协议而造成设备、伤亡事故，由违约方承担一切经济损失。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一、发包人和承包人双方均应共同遵守国家和省市及行业主管部门有关安全生产的各项规定。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二、发包人对承包人的安全管理及安全生产应加强监督，发现承包人在施工过程中存在安全隐患，有权责令其立即整改。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三、在实施和完成本合同工程及缺陷修复的整个过程中，承包人应该：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1、承包人根据工程的具体施工特点，建立健全安全生产管理规章制度，明确安全生产责任，施工前应制定详细而周密的安全生产计划，严格执行国家及地方有关安全管理具体规定。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2、施工现场特殊工种人员应持证上岗，非特殊工种的要配备专职安全员，承包人应采取有效的安全保护措施，使现场的工作人员、机械设备等不发生安全事故。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为了保障本合同工程财产免遭损失或损坏，以及现场附近和过往群众的安全与方便和交通车辆的通行，承包人应按国家及地方有关安全管理规定及本项目施工合同中有关“安全、保卫与环保”等规定，提供照明并设置警卫、护栅、警告标志等安全防护设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承包人应熟悉和遵守环境保护法，并切实执行国家及地方有关安全管理规定在整个施工及缺陷修复过程中，如果由于承包人未能采取各种必要的措施而导致或发生与此有关的人身伤亡、罚款、索赔、损失补偿、诉讼费用及其他一切责任应由承包人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四、在实施和完成本合同工程及其缺陷责任期满前工程缺陷修复的整个过程中，本合同保持有效。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单位盖章：单位盖章：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 ：法定代表人：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附件5</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不拖欠农民工工资承诺书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w:t>
      </w:r>
      <w:r>
        <w:rPr>
          <w:rFonts w:ascii="SimSun" w:hAnsi="SimSun" w:eastAsia="SimSun" w:cs="SimSun"/>
          <w:color w:val="000000"/>
          <w:sz w:val="21"/>
          <w:u w:val="single"/>
        </w:rPr>
        <w:t xml:space="preserve">赣榆区青口镇人民政府</w:t>
      </w: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为保护农民工的合法权益，不拖欠农民工工资，本人</w:t>
      </w:r>
      <w:r>
        <w:rPr>
          <w:rFonts w:ascii="SimSun" w:hAnsi="SimSun" w:eastAsia="SimSun" w:cs="SimSun"/>
          <w:color w:val="000000"/>
          <w:sz w:val="21"/>
          <w:u w:val="single"/>
        </w:rPr>
        <w:t xml:space="preserve">         </w:t>
      </w:r>
      <w:r>
        <w:rPr>
          <w:rFonts w:ascii="SimSun" w:hAnsi="SimSun" w:eastAsia="SimSun" w:cs="SimSun"/>
          <w:color w:val="000000"/>
          <w:sz w:val="21"/>
        </w:rPr>
        <w:t xml:space="preserve">（法定代表人姓名）以</w:t>
      </w:r>
      <w:r>
        <w:rPr>
          <w:rFonts w:ascii="SimSun" w:hAnsi="SimSun" w:eastAsia="SimSun" w:cs="SimSun"/>
          <w:color w:val="000000"/>
          <w:sz w:val="21"/>
          <w:u w:val="single"/>
        </w:rPr>
        <w:t xml:space="preserve">          .</w:t>
      </w:r>
      <w:r>
        <w:rPr>
          <w:rFonts w:ascii="SimSun" w:hAnsi="SimSun" w:eastAsia="SimSun" w:cs="SimSun"/>
          <w:color w:val="000000"/>
          <w:sz w:val="21"/>
        </w:rPr>
        <w:t xml:space="preserve">（承包人全称）法定代表人的资格，郑重承诺：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本单位中标承建</w:t>
      </w:r>
      <w:r>
        <w:rPr>
          <w:rFonts w:ascii="SimSun" w:hAnsi="SimSun" w:eastAsia="SimSun" w:cs="SimSun"/>
          <w:color w:val="000000"/>
          <w:sz w:val="21"/>
          <w:u w:val="single"/>
        </w:rPr>
        <w:t xml:space="preserve"> 青口十八勇士纪念馆改陈布展工程（政府采购工程） （项目名称）</w:t>
      </w:r>
      <w:r>
        <w:rPr>
          <w:rFonts w:ascii="SimSun" w:hAnsi="SimSun" w:eastAsia="SimSun" w:cs="SimSun"/>
          <w:color w:val="000000"/>
          <w:sz w:val="21"/>
        </w:rPr>
        <w:t xml:space="preserve">需要使用农民工时，将保证做到：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1、按照《中华人民共和国劳动法》规定雇佣和使用农民工，工资将直接发给农民工本人，严禁发放给“包工头”。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我单位协作单位雇用农民工的，将要求协作单位按照第1条规定签订劳动合同，并购买意外伤害保险，负责督促其按照合同规定及时结付农民工工资。如因我公司未按合同约定与协作单位结清工程款，致使后者拖欠农民工工资的，将由我公司先行垫付欠款。本公司对协作单位清偿拖欠农民工工资负总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3、严格遵守国家和地方关于农民工工资的其他有关规定。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4、如果发生违反规定拖欠或克扣农民工工资行为，造成农民工上访，本单位愿意无条件接受发包人采取的经济处罚。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99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承包人（公章）： </w:t>
      </w:r>
      <w:r/>
    </w:p>
    <w:p>
      <w:pPr>
        <w:ind w:left="0" w:right="0" w:firstLine="399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99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w:t>
      </w:r>
      <w:r/>
    </w:p>
    <w:p>
      <w:pPr>
        <w:ind w:left="0" w:right="0" w:firstLine="399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99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附件6：</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履约承诺函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致（发包人）：</w:t>
      </w:r>
      <w:r>
        <w:rPr>
          <w:rFonts w:ascii="SimSun" w:hAnsi="SimSun" w:eastAsia="SimSun" w:cs="SimSun"/>
          <w:color w:val="000000"/>
          <w:sz w:val="21"/>
          <w:u w:val="single"/>
        </w:rPr>
        <w:t xml:space="preserve">赣榆区青口镇人民政府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贵我双方在工程发生业务往来，由我司承担该工程的工作。现我司郑重承诺如下：我司会严格按照合同约定及发包人要求完成工作，并且按照发包人施工进度完成施工。在施工过程中我司绝对不会中途退场，并且我司不会偷工减料，定会保质保量保工期地完成此项工作。我司承诺在履约过程中我司承担由于我司中途违约而给发包人造成的一切损失。</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特此承诺！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承诺单位（盖公章）：</w:t>
      </w:r>
      <w:r/>
    </w:p>
    <w:p>
      <w:pPr>
        <w:ind w:left="0" w:right="0" w:firstLine="37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7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7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附件7：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承包人施工安全承诺书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为切实防范和杜绝工程建设中的各种不安全因素，实现“优良工程”、“安全工程”双目标，本承包人特作如下承诺：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一、保证在施工现场进出口醒目处设立施工安全(警示)规则。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二、制定施工安全管理管理机构和安全生产责任制，配备工程建设项目专职安全员，并认真落实各项施工安全管理规定。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三、所有工程建设施工作业人员都要经过安全教育和技术操作培训，特殊工种的作业人员须有相应的技术资质证书。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四、工程建设中安全管理的重点场所，地点部位等处都要设立醒目的警示标志。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五、建筑施工中需要的各种辅助材料(设备)要有产品格合证书，辅助设备的安装、使用要符合安全管理规定。并严格执行安全操作规程。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六、工程建筑原材料质量都要经过检验合格后产品。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七、本承包人愿意自觉接受发包人、监理、监督单位(人)及社会各界对工程建设中安全生产的监督。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八、工程建设施工期间发生任何安全责任事故，本承包人愿承担一切责任，如发生愿意接受发包人的处罚，每次罚款10万元。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99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承诺人(盖章)：</w:t>
      </w:r>
      <w:r/>
    </w:p>
    <w:p>
      <w:pPr>
        <w:ind w:left="0" w:right="0" w:firstLine="399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99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w:t>
      </w:r>
      <w:r/>
    </w:p>
    <w:p>
      <w:pPr>
        <w:ind w:left="0" w:right="0" w:firstLine="399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99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附件8：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承包人施工进场承诺书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我单位系</w:t>
      </w:r>
      <w:r>
        <w:rPr>
          <w:rFonts w:ascii="SimSun" w:hAnsi="SimSun" w:eastAsia="SimSun" w:cs="SimSun"/>
          <w:color w:val="000000"/>
          <w:sz w:val="21"/>
          <w:u w:val="single"/>
        </w:rPr>
        <w:t xml:space="preserve">                     </w:t>
      </w:r>
      <w:r>
        <w:rPr>
          <w:rFonts w:ascii="SimSun" w:hAnsi="SimSun" w:eastAsia="SimSun" w:cs="SimSun"/>
          <w:color w:val="000000"/>
          <w:sz w:val="21"/>
        </w:rPr>
        <w:t xml:space="preserve">作为</w:t>
      </w:r>
      <w:r>
        <w:rPr>
          <w:rFonts w:ascii="SimSun" w:hAnsi="SimSun" w:eastAsia="SimSun" w:cs="SimSun"/>
          <w:color w:val="000000"/>
          <w:sz w:val="21"/>
          <w:u w:val="single"/>
        </w:rPr>
        <w:t xml:space="preserve">                             </w:t>
      </w:r>
      <w:r>
        <w:rPr>
          <w:rFonts w:ascii="SimSun" w:hAnsi="SimSun" w:eastAsia="SimSun" w:cs="SimSun"/>
          <w:color w:val="000000"/>
          <w:sz w:val="21"/>
        </w:rPr>
        <w:t xml:space="preserve">（建设单位）的</w:t>
      </w:r>
      <w:r>
        <w:rPr>
          <w:rFonts w:ascii="SimSun" w:hAnsi="SimSun" w:eastAsia="SimSun" w:cs="SimSun"/>
          <w:color w:val="000000"/>
          <w:sz w:val="21"/>
          <w:u w:val="single"/>
        </w:rPr>
        <w:t xml:space="preserve">青口十八勇士纪念馆改陈布展工程（政府采购工程）</w:t>
      </w:r>
      <w:r>
        <w:rPr>
          <w:rFonts w:ascii="SimSun" w:hAnsi="SimSun" w:eastAsia="SimSun" w:cs="SimSun"/>
          <w:color w:val="000000"/>
          <w:sz w:val="21"/>
        </w:rPr>
        <w:t xml:space="preserve">项目的中标人，我单位郑重承诺：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我单位严格按照招标文件及施工合同要求缴纳履约保证金，并严格按照发包人要求进场施工，绝不恶意拖延进场，绝不以不正当理由恶意闲置机械、人员，若违反上述约定，我单位愿意接受发包人作出的全额扣除履约保证金并强制退场的处罚决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若我单位在签订施工合同后，不按招标文件及施工合同要求提供或拒不提供详细的符合现场实际情况的施工组织设计、进度计划的，我单位自愿接受发包人按每延迟1天，需向发包人支付10000元/天的违约金，并从工程款中直接扣除。延期超过10天的，发包人有权解除合同并清除承包人出场，扣除履约保证金，发包人有损失的，发包人有权要求承包人进行赔偿，并上报建设主管部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若我单位在签订施工合同后，不按招标文件及施工合同约定的工期如期交付的，我单位自愿接受发包人按每延期一天处以5000元作为处罚的决定，若延期交付超过30天以上的，我单位自愿接受发包人作出的解除合同并强制退场，并按已完成工程量的70%结算。</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4、我单位严格按照招标文件及施工合同要求填报项目部主要管理人员，项目部主要管理人员严格执行施工合同，按报批审核后的施工组织设计方案人数按时到岗，并严格执行考勤制度。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7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承包人（盖公章）：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7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承包人法定代表人（签字）：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7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附件9：</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工程建设廉政合同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w:t>
      </w:r>
      <w:r>
        <w:rPr>
          <w:rFonts w:ascii="SimSun" w:hAnsi="SimSun" w:eastAsia="SimSun" w:cs="SimSun"/>
          <w:color w:val="000000"/>
          <w:sz w:val="21"/>
          <w:u w:val="single"/>
        </w:rPr>
        <w:t xml:space="preserve">赣榆区青口镇人民政府</w:t>
      </w: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为了加强</w:t>
      </w:r>
      <w:r>
        <w:rPr>
          <w:rFonts w:ascii="SimSun" w:hAnsi="SimSun" w:eastAsia="SimSun" w:cs="SimSun"/>
          <w:color w:val="000000"/>
          <w:sz w:val="21"/>
          <w:u w:val="single"/>
        </w:rPr>
        <w:t xml:space="preserve">青口十八勇士纪念馆改陈布展工程（政府采购工程）</w:t>
      </w:r>
      <w:r>
        <w:rPr>
          <w:rFonts w:ascii="SimSun" w:hAnsi="SimSun" w:eastAsia="SimSun" w:cs="SimSun"/>
          <w:color w:val="000000"/>
          <w:sz w:val="21"/>
        </w:rPr>
        <w:t xml:space="preserve">的廉政建设，规范工程建设单位、中标单位双方的各项活动，防止发生各种谋取不正当利益的违法违纪行为，保护国家、集体和当事人的合法权益，根据国家建设部、监察部《关于在工程建设中深入开展反对腐败和反不正当竞争的通知》、《中华人民共和国反不正当竞争法》、《中华人民共和国建筑法》、《中华人民共和国招标投标法》等法律法规和廉政建设有关规定，经双方协商同意，签订本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第一条 双方的权利和义务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（一）严格遵守国家关于市场准入、勘测设计、施工监理、询价报价、工程施工、设备安装和市场经营活动等有关法律法规及相关政策，以及廉政建设的各项规定。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（二）严格执行本项目双方签订的施工合同文件，自觉按合同办事。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业务活动坚持公开、公平、公正、诚信、透明的原则（除法律法规认定的商业秘密和合同文件另有规定之外），双方人员不得为获取不正当的利益，就工程费用、材料供应、工程量变动、工程验收、工程质量等问题进行私下商谈或达成默契，不得损害国家和集体利益，违反工程建设管理规章制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建立健全廉政制度，开展廉政教育，向工程建设相关人员宣传廉政合同有关内容，设立廉政公示牌，公布举报电话，监督并认真查处违法违纪行为。发现对方在业务活动中有违反本合同行为的，有及时提醒对方纠正的权利和义务。情节严重的，有向其上级有关部门举报、建议给予处理并要求告知处理结果的权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1"/>
          <w:u w:val="none"/>
        </w:rPr>
        <w:t xml:space="preserve">第二条 发包人的责任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发包人的领导和从事该工程项目的工作人员，在工程项目的事前、事中、事后应遵守以下规定：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（一）不准向承包人索要或接受回扣、礼金、有价证券、贵重物品和好处费、感谢费等；不准在承包人报销任何应由发包人或个人支付的费用。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（二）不准参加承包人安排的超标准宴请和健身、娱乐等活动；不得接受承包人提供的通讯工具、交通工具和高档办公用品等。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（三）不准要求、暗示和接受承包人为个人装修住房、婚丧嫁娶、配偶子女的工作安排以及出国（境）、旅游等提供方便。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（四）配偶、子女不得从事与承包人承包本工程有关的设备材料供应、工程分包、劳务等经济活动。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（五）不得以任何理由向承包人推荐分包单位或要求承包人购买项目工程施工合同规定以外的材料、设备和服务等。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第三条  承包人的责任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承包人应与发包人保持正常的业务交往，按照有关法律法规和程序开展业务工作，严格执行工程建设的有关方针、政策，尤其是有关强制性标准和规范，并遵守以下规定：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（一）不准以任何理由、任何形式向发包人及其工作人员行贿或馈赠礼金、有价证券、贵重物品。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（二）不准以任何名义为发包人及其工作人员报销应由对方或个人支付的费用。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（三）不准以任何理由安排发包人工作人员参加超标准宴请及健身、娱乐和旅游等活动。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（四）不准为发包人单位和工作人员购置或提供通讯工具、交通工具和高档办公用品和装修住房等。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第四条  违约责任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（一）发包人工作人员违反本合同第一、二条责任行为的，按照管理权限，依据有关法律法规和规定给予党纪政纪处分或组织处理；涉嫌犯罪的，移交司法机关追究刑事责任。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承包人工作人员违反本合同第一、三条责任行为的，可由有关行政主管部门对承包人给予合同款10%的处罚，或者中止工程项目建设施工合同，并按照管理权限，依据有关法律法规和规定给予党纪政纪处分或组织处理；涉嫌犯罪的，移交司法机关追究刑事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（三）承包人如将部分辅助项目分包的，承包人有责任向分包方交代本合同的具体内容，并严格执行本合同之规定。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发包人向承包人索贿，经承包人或其他线索检举查实的，由此产生的办案费用由发包人（索贿方单位或个人）承担。凡举报属实的，由查办案件的机关（单位）依照有关规定对举报人实行奖励。承包人任何人员向发包人及其工作人员行贿，无论是发包人索贿，还是承包人主动行贿，一旦此事被确认，承包人均另行承担违约金10万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承包人在工程项目建设中贿赂发包人人员、工程监理及造价咨询等中介单位人员，被纪检监察机关或司法机关立案查处的，根据具体情节和造成的后果扣除承包人工程项目总价的1%－5%作为违约金，发包人并有权中止工程建设合同。由此给发包人造成的损失以及发生的一切费用均由承包人承担，可在工程结算款中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双方人员赠送、贿赂、接受或索要钱物的行为，如果一方发生，另一方当事人应立即主动报告本单位领导和相关部门纪检组或向市纪检检察机关举报。对不主动报告情况的有关人员，一经查实，视情节轻重给予批评教育、党纪政纪处分、依法追究刑事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第五条 本合同作为工程施工合同的从合同，与主合同具有同等法律效力，双方签署后立即生效。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第六条 本合同的有效期为双方签署之日起至该工程项目竣工验收合格、工程资金结清时止。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第九条本合同作为施工合同附件，由双方共同签署。</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发包人（盖章）：承包人（盖章）：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法定代表人（签字）：法定代表人（签字）：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u w:val="none"/>
        </w:rPr>
        <w:t xml:space="preserve">第四章</w:t>
      </w:r>
      <w:r>
        <w:rPr>
          <w:rFonts w:ascii="SimSun" w:hAnsi="SimSun" w:eastAsia="SimSun" w:cs="SimSun"/>
          <w:b/>
          <w:color w:val="000000"/>
          <w:sz w:val="44"/>
        </w:rPr>
        <w:t xml:space="preserve"> 项目需求</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本项目采购方式为竞争性磋商，项目属性为工程。采购标的对应的中小企业划分标准所属行业为</w:t>
      </w:r>
      <w:r>
        <w:rPr>
          <w:rFonts w:ascii="SimSun" w:hAnsi="SimSun" w:eastAsia="SimSun" w:cs="SimSun"/>
          <w:b/>
          <w:color w:val="000000"/>
          <w:sz w:val="21"/>
          <w:u w:val="single"/>
        </w:rPr>
        <w:t xml:space="preserve">建筑业</w:t>
      </w:r>
      <w:r>
        <w:rPr>
          <w:rFonts w:ascii="SimSun" w:hAnsi="SimSun" w:eastAsia="SimSun" w:cs="SimSun"/>
          <w:b/>
          <w:color w:val="000000"/>
          <w:sz w:val="21"/>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本磋商文件中标注★号的部分为实质性要求和条件</w:t>
      </w:r>
      <w:r>
        <w:rPr>
          <w:rFonts w:ascii="SimSun" w:hAnsi="SimSun" w:eastAsia="SimSun" w:cs="SimSun"/>
          <w:color w:val="000000"/>
          <w:sz w:val="21"/>
        </w:rPr>
        <w:t xml:space="preserve">，由采购人根据实际情况设置，供应商须逐条明确作出满足实质性要求和条件的响应，否则将按无效响应处理。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一、商务要求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工程范围：青口十八勇士纪念馆展厅改陈布展施工，包括但不限于装饰工程、安装工程、艺术展陈、多媒体硬件、数字虚拟展览及视频制作直至验收合格及缺陷责任期内的保修等全部工作，施工内容详见图纸及工程量清单；</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2、★合同履行期限（工期)：30日历天；</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3、★质量要求：执行国家现行验收标准，等级为合格；</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4、★付款方式：</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b/>
          <w:color w:val="000000"/>
          <w:sz w:val="21"/>
        </w:rPr>
        <w:t xml:space="preserve">合同签订后，发包人向承包人支付签约合同价款10%的预付款，</w:t>
      </w:r>
      <w:r>
        <w:rPr>
          <w:rFonts w:ascii="SimSun" w:hAnsi="SimSun" w:eastAsia="SimSun" w:cs="SimSun"/>
          <w:color w:val="000000"/>
          <w:sz w:val="21"/>
        </w:rPr>
        <w:t xml:space="preserve">全部工程完工经建设单位等相关单位初步验收合格后付至已完成合格工程量价款的80%，竣工验收合格且工程审计结算完成后付至审计价的97%，余款3%作为工程质量保修金，待缺陷责任期满后付清（无息）。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注：对满足合同约定支付条件的项目自收到发票后10个工作日内将资金支付到约定的承包人账户(以发票开具日期计算）。</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（2）工程施工进行中每笔工程付款承包人必须按照税法规定的税目税率开具符合发包人要求的增值税专用发票，税率为9%（不含税合同总价不变，税率随国家税法变动而变动），否则不予付款。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承包人必须保证施工期间的民工工资发放，每次支付工程进度款时必须在上报已完工程量的报告中单列人工费，并办理已支付民工工资相关确认手续。若出现拖欠民工工资发包人有权从工程进度款扣除拖欠的民工工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（4）承包人应给予发包人必要的工程款支付期限，以便发包人办理支付申请手续。</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（5）承包人不得因发包人延期支付进度款而停工。延期支付进度款不计算利息。</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5、★履约保证金</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（1）履约保证金缴纳事项详见第三章“合同条款及格式”。</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（2）履约保证金的金额：签约合同价的10%。</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履约保证金的退还：除按本合同专用条款约定从履约保证金中扣除的相应费用（罚款）外，剩余履约保证金于采购人签发交工验收证书且成交供应商按照合同约定缴纳质量保证金后28日内退还。采用履约担保（银行保函）形式的，成交供应商按合同专用条款约定缴纳相应费用（罚款）后28日内履行保函退还手续。</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不予退还的情形：成交供应商不履行合同，履约保证金不予返还。成交供应商违约的，采购人将按照合同约定扣除其全部或部分履约保证金。如成交供应商违约给采购人造成的损失超过履约保证金的，应当依法赔偿超过部分的损失。</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（5）逾期退还履约保证金的违约责任：除不可抗力外，采购人逾期退还履约保证金的，除应当退还履约保证金本金外，还应按商业银行同期贷款利率上浮10%后的利率支付资金占用费。</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（6）政府采购履约资金扶持政策。</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成交供应商可凭政府采购合同办理融资贷款，详情请见江苏政府采购网“政采贷”专栏。</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二、报价要求</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1、投标报价方式：</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工程采用固定单价报价，固定单价为综合单价（综合单价包括人工费、材料费、机械费、管理费、利润、约定范围的风险费用），供应商应根据招标文件要求及充分踏勘施工现场条件，在投标报价时应充分考虑施工期间人工、材料、机械的市场风险等计入单价报价，结算时综合单价不再调整（合同专用条款11.1市场价格波动引起的调整中约定的材料调整除外）。</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别注意：请供应商特别注意同条款内价格调整的相关内容，不在约定调整范围内的材料结算时材料价格不予调整，请供应商在投标报价时综合考虑整体市场环境及自身情况，如中标后因此内容发生消极怠工或弃标等行为，采购人将严格按照招标文件、合同约定的相关内容及相关规定进行处理。</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供应商响应文件中的工程量清单所填单价和总价，应被认为是正确的和完备的，并已包括了合同中规定的承包人全部义务，包括但不限于以下内容：</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提供材料设备、服务的义务及处理意外事件的义务</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实施和完成合同工程的义务</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工程质量保修的一切义务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2、本项目报价不得超过预算价（最高限价）。</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特别提醒供应商：应根据国家收费标准并结合市场实际进行报价。</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3、工作中涉及的敏感资料、电子数据等相关信息，成交供应商应严格执行保密的相关规定，不得以任何方式向任何第三人披露、泄露或许可第三人使用，否则追究其相应法律责任。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u w:val="none"/>
        </w:rPr>
        <w:t xml:space="preserve">第</w:t>
      </w:r>
      <w:r>
        <w:rPr>
          <w:rFonts w:ascii="SimSun" w:hAnsi="SimSun" w:eastAsia="SimSun" w:cs="SimSun"/>
          <w:b/>
          <w:color w:val="000000"/>
          <w:sz w:val="44"/>
        </w:rPr>
        <w:t xml:space="preserve">五章 工程量清单及图纸</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w:t>
      </w:r>
      <w:r>
        <w:rPr>
          <w:rFonts w:ascii="SimSun" w:hAnsi="SimSun" w:eastAsia="SimSun" w:cs="SimSun"/>
          <w:color w:val="000000"/>
          <w:sz w:val="24"/>
        </w:rPr>
        <w:t xml:space="preserve">详见附件）</w:t>
      </w:r>
      <w:r/>
    </w:p>
    <w:p>
      <w:pPr>
        <w:ind w:left="0" w:right="0" w:firstLine="480"/>
        <w:spacing w:before="240" w:after="240" w:line="85" w:lineRule="atLeast"/>
        <w:tabs>
          <w:tab w:val="left" w:pos="163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tabs>
          <w:tab w:val="left" w:pos="163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tabs>
          <w:tab w:val="left" w:pos="163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tabs>
          <w:tab w:val="left" w:pos="163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tabs>
          <w:tab w:val="left" w:pos="163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tabs>
          <w:tab w:val="left" w:pos="163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tabs>
          <w:tab w:val="left" w:pos="163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tabs>
          <w:tab w:val="left" w:pos="163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tabs>
          <w:tab w:val="left" w:pos="163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tabs>
          <w:tab w:val="left" w:pos="163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tabs>
          <w:tab w:val="left" w:pos="163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tabs>
          <w:tab w:val="left" w:pos="163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tabs>
          <w:tab w:val="left" w:pos="163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tabs>
          <w:tab w:val="left" w:pos="163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tabs>
          <w:tab w:val="left" w:pos="163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tabs>
          <w:tab w:val="left" w:pos="163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tabs>
          <w:tab w:val="left" w:pos="163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tabs>
          <w:tab w:val="left" w:pos="163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tabs>
          <w:tab w:val="left" w:pos="163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tabs>
          <w:tab w:val="left" w:pos="163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tabs>
          <w:tab w:val="left" w:pos="163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tabs>
          <w:tab w:val="left" w:pos="163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tabs>
          <w:tab w:val="left" w:pos="163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tabs>
          <w:tab w:val="left" w:pos="163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tabs>
          <w:tab w:val="left" w:pos="163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tabs>
          <w:tab w:val="left" w:pos="163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tabs>
          <w:tab w:val="left" w:pos="163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tabs>
          <w:tab w:val="left" w:pos="163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tabs>
          <w:tab w:val="left" w:pos="163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tabs>
          <w:tab w:val="left" w:pos="163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u w:val="none"/>
        </w:rPr>
        <w:t xml:space="preserve">第</w:t>
      </w:r>
      <w:r>
        <w:rPr>
          <w:rFonts w:ascii="SimSun" w:hAnsi="SimSun" w:eastAsia="SimSun" w:cs="SimSun"/>
          <w:b/>
          <w:color w:val="000000"/>
          <w:sz w:val="44"/>
        </w:rPr>
        <w:t xml:space="preserve">六章 评审方法和评审标准</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一、磋商小组：</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本采购项目磋商小组由采购人代表和评审专家组成。</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二、评审方法：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经磋商确定最终采购需求和确定提交最后报价的供应商后，由磋商小组采用综合评分法对提交最后报价的供应商的响应文件和最后报价进行综合评分。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综合评分法，是指响应文件满足磋商文件全部实质性要求且按评审因素的量化指标评审得分最高的供应商为成交候选供应商的评审方法。</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三、评审原则：</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磋商小组必须客观、公正、审慎，不带任何倾向性和启发性；不得向外界透露任何与评审有关的内容；任何单位和个人不得干扰、影响评审的正常进行；磋商小组及有关工作人员不得私下与供应商接触。</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四、评审标准： </w:t>
      </w:r>
      <w:r/>
    </w:p>
    <w:p>
      <w:pPr>
        <w:ind w:left="0" w:right="0" w:firstLine="480"/>
        <w:spacing w:before="240" w:after="240" w:line="85" w:lineRule="atLeast"/>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（一）评审时，磋商小组以磋商文件为评审依据，磋商小组各成员独立对每个有效响应的文件进行评价、打分，然后汇总每个供应商每项评审因素的得分。</w:t>
      </w:r>
      <w:r/>
    </w:p>
    <w:p>
      <w:pPr>
        <w:ind w:left="0" w:right="0" w:firstLine="480"/>
        <w:spacing w:before="240" w:after="240" w:line="85" w:lineRule="atLeast"/>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（二）本项目评分总分为100分，按四舍五入取至小数点后两位。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综合评分法</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89"/>
        <w:gridCol w:w="1110"/>
        <w:gridCol w:w="1175"/>
        <w:gridCol w:w="5804"/>
      </w:tblGrid>
      <w:tr>
        <w:trPr>
          <w:trHeight w:val="54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04"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评分标准</w:t>
            </w:r>
            <w:r/>
          </w:p>
        </w:tc>
      </w:tr>
      <w:tr>
        <w:trPr>
          <w:trHeight w:val="7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价格得分（30分）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4"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统一采用低价优先法计算，即满足磋商文件要求且最后报价最低的供应商的价格为磋商基准价，其价格分为满分。其他供应商的价格分统一按照下列公式计算：磋商报价得分=（磋商基准价/最后磋商报价）×30分（小数点保留两位）</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项目评审过程中，不得去掉最后报价中的最高报价和最低报价。</w:t>
            </w:r>
            <w:r/>
          </w:p>
        </w:tc>
      </w:tr>
      <w:tr>
        <w:trPr>
          <w:trHeight w:val="3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vMerge w:val="restart"/>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vMerge w:val="restart"/>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技术部分</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施工重点、难点分析（8分）</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对项目实施的重点、难点和解决方案，特别是结合布展项目的施工方案及安全保证措施等内容表述全面完整。得5～8（含）分；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对项目实施的重点、难点和解决方案，特别是结合布展项目的施工方案及安全保证措施等内容表述较为明确。得3～5（含）分；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对项目实施的重点、难点和解决方案，特别是结合布展项目的施工方案及安全保证措施等内容表述基本明确。得0～3（含）分；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未提供此项内容，不得分。</w:t>
            </w:r>
            <w:r/>
          </w:p>
        </w:tc>
      </w:tr>
      <w:tr>
        <w:trPr>
          <w:trHeight w:val="395"/>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质量、进度、安全文明保证措施（6分）</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4"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深度结合本布展项目的特点，搭建质量技术管理班子和制度，且人员配备完整、合理得当，制度健全，主要工序有质量技术保证措施和手段，自控体系全面完整，能全面有效的保证技术质量，达到承诺的质量标准的，得4～6（含）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充分结合本布展项目的特点，质量、进度、安全文明保证措施较为明确、合理。质量技术管理班子和制度，且人员配备较为合理，制度健全，主要工序有质量技术保证措施和手段，自控体系较为完整，能保证技术质量，得2～4（含）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充分结合本布展项目的特点，质量、进度、安全文明保证措施基本明确。质量技术管理班子和制度，且人员配备基本合理，制度健全，主要工序有质量技术保证措施和手段，自控体系基本完整，得0～2（含）分；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未提供此项内容，不得分。</w:t>
            </w:r>
            <w:r/>
          </w:p>
        </w:tc>
      </w:tr>
      <w:tr>
        <w:trPr>
          <w:trHeight w:val="279"/>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拟投入机具设备及劳动力配置（9分）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深度结合本布展项目规模、工艺复杂度、工期要求等特点，拟投入的机具设备种类丰富齐全，涵盖从基础施工到精细装饰各环节所需，且设备性能先进、状态良好，能极大提升施工效率与质量。劳动力配置数量充足，各工种搭配科学合理，能根据施工进度灵活调配，全面满足项目实施需求，保障施工流畅高效。得6～9（含）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基本考虑本布展项目规模、工艺复杂度、工期要求等特点，拟投入的机具设备种类较为齐全，设备配置基本符合项目需要，劳动力安排数量基本满足施工进度要求，工种搭配较合理，能够确保各阶段施工需求得到有效满足，得3～6（含）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对项目特点考虑欠周全，机具设备种类有缺失，性能一般，影响施工效率。劳动力数量和工种搭配仅能勉强维持施工，难以应对突发状况，得0～3（含）分。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未提供此项内容，不得分。</w:t>
            </w:r>
            <w:r/>
          </w:p>
        </w:tc>
      </w:tr>
      <w:tr>
        <w:trPr>
          <w:trHeight w:val="279"/>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施工工艺、技术、产品、主要材料应用（9分）</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4"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施工工艺、技术、产品、材料表述全面完整，完全符合项目实际。主要材料、设备选用合理，产品质量、可靠性及品牌知名度等综合性能全面完整，能够多方面使用，得6～9（含）分；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施工工艺、技术、产品、材料表述较为明确，较为符合项目实际。主要材料、设备选用较合理，产品质量、可靠性及品牌知名度等综合性能较好，得3～6（含）分；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施工工艺、技术、产品、材料表述基本明确，基本符合项目实际。主要材料、设备选用不太合理，产品质量、可靠性及品牌知名度等综合性能一般，得0～3（含）分；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未提供此项内容，不得分。</w:t>
            </w:r>
            <w:r/>
          </w:p>
        </w:tc>
      </w:tr>
      <w:tr>
        <w:trPr>
          <w:trHeight w:val="320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工程各阶段施工的资源配置计划（8分）</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4"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各阶段施工的资源配置计划表述全面完整。针对本工程各阶段施工，提供全面完整切实可行的施工总平面图、施工进度计划表、临时设施方案及劳动力计划配置、材料供应计划配置、主要施工设备配置方案，得5～8（含）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各阶段施工的资源配置计划表述较为明确。针对本工程各阶段施工，提供较为明确的施工总平面图、施工进度计划表、临时设施方案及劳动力计划配置、材料供应计划配置、主要施工设备配置方案，得3～5（含）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工程各阶段施工的资源配置计划表述基本明确。针对本工程各阶段施工，提供基本明确的施工总平面图、施工进度计划表、材料供应计划配置，得0～3（含）分；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未提供此项内容，不得分。</w:t>
            </w:r>
            <w:r/>
          </w:p>
        </w:tc>
      </w:tr>
      <w:tr>
        <w:trPr>
          <w:trHeight w:val="9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展厅接待保障应急预案（5分）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结合本布展项目展厅布局、客流量规律、展品敏感度等特点。预案涵盖火灾、设备突发故障、人员拥挤踩踏等多类紧急场景，应对流程精准清晰，各环节责任明确，得3～5（含）分；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基本考虑展厅特性，预案包含常见紧急状况，应对措施较合理，应急人员分工较明确，得2～3（含）分；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对展厅特点考虑不足，预案内容简单笼统，缺乏针对性，应急措施可行性欠佳，得0～2（含）分；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未提供此项内容，不得分。</w:t>
            </w:r>
            <w:r/>
          </w:p>
        </w:tc>
      </w:tr>
      <w:tr>
        <w:trPr>
          <w:trHeight w:val="3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vMerge w:val="restart"/>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vMerge w:val="restart"/>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商务部分</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（25分）</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项目组成员</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4" w:type="dxa"/>
            <w:vAlign w:val="center"/>
            <w:textDirection w:val="lrTb"/>
            <w:noWrap w:val="false"/>
          </w:tcPr>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1、项目负责人具有中级及以上工程师职称的得2分。</w:t>
            </w:r>
            <w:r/>
          </w:p>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2、技术负责人具有中级及以上工程师职称的得2分。</w:t>
            </w:r>
            <w:r/>
          </w:p>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3、项目组成员（除项目负责人及技术负责人外）中具有建设行政主管部门核发的安全员、质量员、施工员资格证书的，每提供一人得2分，最高得6分。</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提供上述人员相关证书原件彩色扫描件及供应商为其缴纳的2025年6月起至今任意一个月由社保机构出具的社保缴纳证明（加盖社保中心章或社保中心参保缴费证明电子专用章）加盖公章上传响应文件中，以上材料未提供或提供不全的不得分。</w:t>
            </w:r>
            <w:r/>
          </w:p>
        </w:tc>
      </w:tr>
      <w:tr>
        <w:trPr>
          <w:trHeight w:val="696"/>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类似业绩（12分）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4"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供应商自2021年1月1日以来（以竣工验收时间为准）承担过类似纪念馆（布展施工）业绩的（分包业绩不予认可），每提供一个得4分，最高得12分。</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注：（1）供应商须将中标（成交）通知书（或直接发包通知书）、施工合同、竣工验收证明复印件加盖公章放至响应文件中，否则不予认可。</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竣工验收证明须由建设单位、设计单位、监理单位、施工单位共同盖公章，否则不予认可。提供的类似业绩证明材料必须能清晰的表明供应商名称、工程内容、工程规模、合同金额、竣工验收时间等需要明示的内容，若提供的证明材料没有明确、缺项、含糊不清的造成无法确定的或不能明示相关信息，则需同时提供建设单位书面证明文件并加盖建设单位公章，否则不予认可。</w:t>
            </w:r>
            <w:r/>
          </w:p>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（3）工程造价以签约合同价金额为准，时间以竣工验收证明上的验收时间为准。</w:t>
            </w:r>
            <w:r/>
          </w:p>
        </w:tc>
      </w:tr>
      <w:tr>
        <w:trPr>
          <w:trHeight w:val="696"/>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企业实力</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4" w:type="dxa"/>
            <w:vAlign w:val="top"/>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供应商具有质量管理体系、环境管理体系、职业健康安全管理体系认证证书且在有效期内的，每提供一项认证证书的得1分，最高得3分。</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注：提供以上相关证书原件彩色扫描件及国家市场监督管理总局全国认证认可信息公共服务平台查询截图加盖公章，上传至电子投标文件中，如不按要求提供不得分。</w:t>
            </w:r>
            <w:r/>
          </w:p>
        </w:tc>
      </w:tr>
    </w:tbl>
    <w:p>
      <w:pPr>
        <w:ind w:left="0" w:right="0" w:firstLine="42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五、成交标准：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u w:val="none"/>
        </w:rPr>
        <w:t xml:space="preserve">第</w:t>
      </w:r>
      <w:r>
        <w:rPr>
          <w:rFonts w:ascii="SimSun" w:hAnsi="SimSun" w:eastAsia="SimSun" w:cs="SimSun"/>
          <w:b/>
          <w:color w:val="000000"/>
          <w:sz w:val="44"/>
        </w:rPr>
        <w:t xml:space="preserve">七章 竞争性磋商响应文件格式</w:t>
      </w:r>
      <w:r/>
    </w:p>
    <w:p>
      <w:pPr>
        <w:ind w:left="1874" w:right="147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874" w:right="147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6"/>
        </w:rPr>
        <w:t xml:space="preserve">响应文件</w:t>
      </w:r>
      <w:r/>
    </w:p>
    <w:p>
      <w:pPr>
        <w:ind w:left="0" w:right="0" w:firstLine="643"/>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w:t>
      </w:r>
      <w:r>
        <w:rPr>
          <w:rFonts w:ascii="SimSun" w:hAnsi="SimSun" w:eastAsia="SimSun" w:cs="SimSun"/>
          <w:b/>
          <w:color w:val="000000"/>
          <w:sz w:val="32"/>
          <w:u w:val="single"/>
        </w:rPr>
        <w:t xml:space="preserve">                    </w:t>
      </w:r>
      <w:r/>
    </w:p>
    <w:p>
      <w:pPr>
        <w:ind w:left="0" w:right="0" w:firstLine="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w:t>
      </w:r>
      <w:r>
        <w:rPr>
          <w:rFonts w:ascii="SimSun" w:hAnsi="SimSun" w:eastAsia="SimSun" w:cs="SimSun"/>
          <w:b/>
          <w:color w:val="000000"/>
          <w:sz w:val="32"/>
          <w:u w:val="single"/>
        </w:rPr>
        <w:t xml:space="preserve">                    </w:t>
      </w:r>
      <w:r/>
    </w:p>
    <w:p>
      <w:pPr>
        <w:ind w:left="0" w:right="0" w:firstLine="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供应商名称：</w:t>
      </w:r>
      <w:r>
        <w:rPr>
          <w:rFonts w:ascii="SimSun" w:hAnsi="SimSun" w:eastAsia="SimSun" w:cs="SimSun"/>
          <w:b/>
          <w:color w:val="000000"/>
          <w:sz w:val="36"/>
          <w:u w:val="single"/>
        </w:rPr>
        <w:t xml:space="preserve">（加盖CA电子公章）</w:t>
      </w:r>
      <w:r>
        <w:rPr>
          <w:rFonts w:ascii="SimSun" w:hAnsi="SimSun" w:eastAsia="SimSun" w:cs="SimSun"/>
          <w:b/>
          <w:color w:val="000000"/>
          <w:sz w:val="32"/>
        </w:rPr>
        <w:t xml:space="preserve"> </w:t>
      </w:r>
      <w:r/>
    </w:p>
    <w:p>
      <w:pPr>
        <w:ind w:left="0" w:right="0" w:firstLine="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日      期：</w:t>
      </w:r>
      <w:r>
        <w:rPr>
          <w:rFonts w:ascii="SimSun" w:hAnsi="SimSun" w:eastAsia="SimSun" w:cs="SimSun"/>
          <w:b/>
          <w:color w:val="000000"/>
          <w:sz w:val="32"/>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响应文件目录</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一、法人或者其他组织的营业执照等证明文件，自然人的身份证明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二、具有良好的商业信誉和健全的财务会计制度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三、依法缴纳税收和社会保障资金的相关材料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四、具备履行合同所必需的设备和专业技术能力的声明及证明材料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五、参加政府采购活动前三年内在经营活动中没有重大违法记录的书面声明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六、特定资格要求的证明文件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七、法人授权书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八、磋商响应函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九、中小企业声明函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十、残疾人福利性单位声明函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十一、磋商响应报价表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十二、已标价的工程量清单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十三、技术文件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十四、商务要求响应及偏离表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十五、企业类似业绩一览表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十六、项目管理及技术人员一览表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十七、供应商认为需要提供的其他材料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十八、供应商承诺书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一、法人或者其他组织的营业执照等证明文件，自然人的身份证明</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二、具有良好的商业信誉和健全的财务会计制度</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财务状况报告及税收、社会保障资金</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缴纳情况承诺函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致：采购人名称</w:t>
      </w:r>
      <w:r>
        <w:rPr>
          <w:rFonts w:ascii="SimSun" w:hAnsi="SimSun" w:eastAsia="SimSun" w:cs="SimSun"/>
          <w:color w:val="000000"/>
          <w:sz w:val="21"/>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我方</w:t>
      </w:r>
      <w:r>
        <w:rPr>
          <w:rFonts w:ascii="SimSun" w:hAnsi="SimSun" w:eastAsia="SimSun" w:cs="SimSun"/>
          <w:color w:val="000000"/>
          <w:sz w:val="21"/>
          <w:u w:val="single"/>
        </w:rPr>
        <w:t xml:space="preserve">供应商名称</w:t>
      </w:r>
      <w:r>
        <w:rPr>
          <w:rFonts w:ascii="SimSun" w:hAnsi="SimSun" w:eastAsia="SimSun" w:cs="SimSun"/>
          <w:color w:val="000000"/>
          <w:sz w:val="21"/>
        </w:rPr>
        <w:t xml:space="preserve">参加</w:t>
      </w:r>
      <w:r>
        <w:rPr>
          <w:rFonts w:ascii="SimSun" w:hAnsi="SimSun" w:eastAsia="SimSun" w:cs="SimSun"/>
          <w:color w:val="000000"/>
          <w:sz w:val="21"/>
          <w:u w:val="single"/>
        </w:rPr>
        <w:t xml:space="preserve">项目名称</w:t>
      </w:r>
      <w:r>
        <w:rPr>
          <w:rFonts w:ascii="SimSun" w:hAnsi="SimSun" w:eastAsia="SimSun" w:cs="SimSun"/>
          <w:color w:val="000000"/>
          <w:sz w:val="21"/>
        </w:rPr>
        <w:t xml:space="preserve">（项目编号：</w:t>
      </w:r>
      <w:r>
        <w:rPr>
          <w:rFonts w:ascii="SimSun" w:hAnsi="SimSun" w:eastAsia="SimSun" w:cs="SimSun"/>
          <w:color w:val="000000"/>
          <w:sz w:val="21"/>
          <w:u w:val="single"/>
        </w:rPr>
        <w:t xml:space="preserve">         </w:t>
      </w:r>
      <w:r>
        <w:rPr>
          <w:rFonts w:ascii="SimSun" w:hAnsi="SimSun" w:eastAsia="SimSun" w:cs="SimSun"/>
          <w:color w:val="000000"/>
          <w:sz w:val="21"/>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（1）具有良好的商业信誉和健全的财务会计制度（财务状况报告）；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（2）有依法缴纳税收和社会保障资金的良好记录。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我方对上述承诺的真实性负责，如有虚假，将依法承担提供虚假材料谋取中标、成交责任，同时同意有关主管部门将相关失信信息记入公共信用信息系统并在相关政府门户网站公开。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特此承诺</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right"/>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供应商（公章）：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法定代表人或其委托代理人（签字或盖章）：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三、依法缴纳税收和社会保障资金的相关材料</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财务状况报告及税收、社会保障资金</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缴纳情况承诺函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致：采购人名称</w:t>
      </w:r>
      <w:r>
        <w:rPr>
          <w:rFonts w:ascii="SimSun" w:hAnsi="SimSun" w:eastAsia="SimSun" w:cs="SimSun"/>
          <w:color w:val="000000"/>
          <w:sz w:val="21"/>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我方</w:t>
      </w:r>
      <w:r>
        <w:rPr>
          <w:rFonts w:ascii="SimSun" w:hAnsi="SimSun" w:eastAsia="SimSun" w:cs="SimSun"/>
          <w:color w:val="000000"/>
          <w:sz w:val="21"/>
          <w:u w:val="single"/>
        </w:rPr>
        <w:t xml:space="preserve">供应商名称</w:t>
      </w:r>
      <w:r>
        <w:rPr>
          <w:rFonts w:ascii="SimSun" w:hAnsi="SimSun" w:eastAsia="SimSun" w:cs="SimSun"/>
          <w:color w:val="000000"/>
          <w:sz w:val="21"/>
        </w:rPr>
        <w:t xml:space="preserve">参加</w:t>
      </w:r>
      <w:r>
        <w:rPr>
          <w:rFonts w:ascii="SimSun" w:hAnsi="SimSun" w:eastAsia="SimSun" w:cs="SimSun"/>
          <w:color w:val="000000"/>
          <w:sz w:val="21"/>
          <w:u w:val="single"/>
        </w:rPr>
        <w:t xml:space="preserve">项目名称</w:t>
      </w:r>
      <w:r>
        <w:rPr>
          <w:rFonts w:ascii="SimSun" w:hAnsi="SimSun" w:eastAsia="SimSun" w:cs="SimSun"/>
          <w:color w:val="000000"/>
          <w:sz w:val="21"/>
        </w:rPr>
        <w:t xml:space="preserve">（项目编号：</w:t>
      </w:r>
      <w:r>
        <w:rPr>
          <w:rFonts w:ascii="SimSun" w:hAnsi="SimSun" w:eastAsia="SimSun" w:cs="SimSun"/>
          <w:color w:val="000000"/>
          <w:sz w:val="21"/>
          <w:u w:val="single"/>
        </w:rPr>
        <w:t xml:space="preserve">         </w:t>
      </w:r>
      <w:r>
        <w:rPr>
          <w:rFonts w:ascii="SimSun" w:hAnsi="SimSun" w:eastAsia="SimSun" w:cs="SimSun"/>
          <w:color w:val="000000"/>
          <w:sz w:val="21"/>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（1）具有良好的商业信誉和健全的财务会计制度（财务状况报告）；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（2）有依法缴纳税收和社会保障资金的良好记录。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我方对上述承诺的真实性负责，如有虚假，将依法承担提供虚假材料谋取中标、成交责任，同时同意有关主管部门将相关失信信息记入公共信用信息系统并在相关政府门户网站公开。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特此承诺</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right"/>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供应商（公章）：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法定代表人或其委托代理人（签字或盖章）：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四、具备履行合同所必需的设备和专业技术能力的声明及证明材料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9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具备履行合同所必需的设备和专业技术能力的书面声明</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主要设备有：</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主要专业技术能力有：</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注：后附相关证明材料</w:t>
      </w:r>
      <w:r/>
    </w:p>
    <w:p>
      <w:pPr>
        <w:ind w:left="0" w:right="0" w:firstLine="4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供应商：（公章）</w:t>
      </w:r>
      <w:r/>
    </w:p>
    <w:p>
      <w:pPr>
        <w:ind w:left="0" w:right="0" w:firstLine="40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法定代表人或授权代理人：（签字或盖章）</w:t>
      </w:r>
      <w:r/>
    </w:p>
    <w:p>
      <w:pPr>
        <w:ind w:left="0" w:right="0" w:firstLine="40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五、参加政府采购活动前三年内在经营活动中没有重大违法记录的书面声明</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我单位郑重声明：参加本次政府采购活动前3年内，我单位在经营活动中没有因违法经营受到刑事处罚或者责令停产停业、吊销许可证或者执照、较大数额罚款等行政处罚。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p>
      <w:pPr>
        <w:ind w:left="0" w:right="0" w:firstLine="4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供应商：（公章）</w:t>
      </w:r>
      <w:r/>
    </w:p>
    <w:p>
      <w:pPr>
        <w:ind w:left="0" w:right="0" w:firstLine="40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法定代表人或授权代理人：（签字或盖章）</w:t>
      </w:r>
      <w:r/>
    </w:p>
    <w:p>
      <w:pPr>
        <w:ind w:left="0" w:right="0" w:firstLine="40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六、特定资格要求的证明文件</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1"/>
        </w:rPr>
        <w:t xml:space="preserve"> 如果本项目申请人的特定资格要求中要求提供的，必须提供。</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七、法人授权书</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法定代表人授权委托书</w:t>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本授权委托书声明：我</w:t>
      </w:r>
      <w:r>
        <w:rPr>
          <w:rFonts w:ascii="SimSun" w:hAnsi="SimSun" w:eastAsia="SimSun" w:cs="SimSun"/>
          <w:color w:val="000000"/>
          <w:sz w:val="22"/>
          <w:u w:val="single"/>
        </w:rPr>
        <w:t xml:space="preserve">        </w:t>
      </w:r>
      <w:r>
        <w:rPr>
          <w:rFonts w:ascii="SimSun" w:hAnsi="SimSun" w:eastAsia="SimSun" w:cs="SimSun"/>
          <w:color w:val="000000"/>
          <w:sz w:val="22"/>
        </w:rPr>
        <w:t xml:space="preserve">（姓名）系</w:t>
      </w:r>
      <w:r>
        <w:rPr>
          <w:rFonts w:ascii="SimSun" w:hAnsi="SimSun" w:eastAsia="SimSun" w:cs="SimSun"/>
          <w:color w:val="000000"/>
          <w:sz w:val="22"/>
          <w:u w:val="single"/>
        </w:rPr>
        <w:t xml:space="preserve">        </w:t>
      </w:r>
      <w:r>
        <w:rPr>
          <w:rFonts w:ascii="SimSun" w:hAnsi="SimSun" w:eastAsia="SimSun" w:cs="SimSun"/>
          <w:color w:val="000000"/>
          <w:sz w:val="22"/>
        </w:rPr>
        <w:t xml:space="preserve">（磋商供应商名称）的法定代表人，现授权委托</w:t>
      </w:r>
      <w:r>
        <w:rPr>
          <w:rFonts w:ascii="SimSun" w:hAnsi="SimSun" w:eastAsia="SimSun" w:cs="SimSun"/>
          <w:color w:val="000000"/>
          <w:sz w:val="22"/>
          <w:u w:val="single"/>
        </w:rPr>
        <w:t xml:space="preserve">        </w:t>
      </w:r>
      <w:r>
        <w:rPr>
          <w:rFonts w:ascii="SimSun" w:hAnsi="SimSun" w:eastAsia="SimSun" w:cs="SimSun"/>
          <w:color w:val="000000"/>
          <w:sz w:val="22"/>
        </w:rPr>
        <w:t xml:space="preserve">（单位名称）的</w:t>
      </w:r>
      <w:r>
        <w:rPr>
          <w:rFonts w:ascii="SimSun" w:hAnsi="SimSun" w:eastAsia="SimSun" w:cs="SimSun"/>
          <w:color w:val="000000"/>
          <w:sz w:val="22"/>
          <w:u w:val="single"/>
        </w:rPr>
        <w:t xml:space="preserve">        </w:t>
      </w:r>
      <w:r>
        <w:rPr>
          <w:rFonts w:ascii="SimSun" w:hAnsi="SimSun" w:eastAsia="SimSun" w:cs="SimSun"/>
          <w:color w:val="000000"/>
          <w:sz w:val="22"/>
        </w:rPr>
        <w:t xml:space="preserve">（姓名）为我公司代理人，参加</w:t>
      </w:r>
      <w:r>
        <w:rPr>
          <w:rFonts w:ascii="SimSun" w:hAnsi="SimSun" w:eastAsia="SimSun" w:cs="SimSun"/>
          <w:color w:val="000000"/>
          <w:sz w:val="22"/>
          <w:u w:val="single"/>
        </w:rPr>
        <w:t xml:space="preserve">              </w:t>
      </w:r>
      <w:r>
        <w:rPr>
          <w:rFonts w:ascii="SimSun" w:hAnsi="SimSun" w:eastAsia="SimSun" w:cs="SimSun"/>
          <w:color w:val="000000"/>
          <w:sz w:val="22"/>
        </w:rPr>
        <w:t xml:space="preserve">（采购人）</w:t>
      </w:r>
      <w:r>
        <w:rPr>
          <w:rFonts w:ascii="SimSun" w:hAnsi="SimSun" w:eastAsia="SimSun" w:cs="SimSun"/>
          <w:color w:val="000000"/>
          <w:sz w:val="22"/>
          <w:u w:val="single"/>
        </w:rPr>
        <w:t xml:space="preserve">        </w:t>
      </w:r>
      <w:r>
        <w:rPr>
          <w:rFonts w:ascii="SimSun" w:hAnsi="SimSun" w:eastAsia="SimSun" w:cs="SimSun"/>
          <w:color w:val="000000"/>
          <w:sz w:val="22"/>
        </w:rPr>
        <w:t xml:space="preserve">的</w:t>
      </w:r>
      <w:r>
        <w:rPr>
          <w:rFonts w:ascii="SimSun" w:hAnsi="SimSun" w:eastAsia="SimSun" w:cs="SimSun"/>
          <w:color w:val="000000"/>
          <w:sz w:val="22"/>
          <w:u w:val="single"/>
        </w:rPr>
        <w:t xml:space="preserve">        </w:t>
      </w:r>
      <w:r>
        <w:rPr>
          <w:rFonts w:ascii="SimSun" w:hAnsi="SimSun" w:eastAsia="SimSun" w:cs="SimSun"/>
          <w:color w:val="000000"/>
          <w:sz w:val="22"/>
        </w:rPr>
        <w:t xml:space="preserve">（项目名称）工程项目的采购活动。代理人在磋商、评审、合同磋商过程中所签署的一切文件和处理与之有关的一切事务，我均予以承认。</w:t>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代理人无转委权。特此委托。</w:t>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本授权书于        年     月       日起生效，特此声明。</w:t>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被授权人身份证号码：</w:t>
      </w:r>
      <w:r>
        <w:rPr>
          <w:rFonts w:ascii="Times New Roman" w:hAnsi="Times New Roman" w:eastAsia="Times New Roman" w:cs="Times New Roman"/>
          <w:color w:val="000000"/>
          <w:sz w:val="22"/>
          <w:u w:val="single"/>
        </w:rPr>
        <w:t xml:space="preserve">                              </w:t>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被授权人联系电话：（手机）</w:t>
      </w:r>
      <w:r>
        <w:rPr>
          <w:rFonts w:ascii="Times New Roman" w:hAnsi="Times New Roman" w:eastAsia="Times New Roman" w:cs="Times New Roman"/>
          <w:color w:val="000000"/>
          <w:sz w:val="22"/>
          <w:u w:val="single"/>
        </w:rPr>
        <w:t xml:space="preserve">                          </w:t>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授权单位名称：</w:t>
      </w:r>
      <w:r>
        <w:rPr>
          <w:rFonts w:ascii="SimSun" w:hAnsi="SimSun" w:eastAsia="SimSun" w:cs="SimSun"/>
          <w:color w:val="000000"/>
          <w:sz w:val="22"/>
          <w:u w:val="single"/>
        </w:rPr>
        <w:t xml:space="preserve">（公章）</w:t>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单位地址：</w:t>
      </w:r>
      <w:r>
        <w:rPr>
          <w:rFonts w:ascii="Times New Roman" w:hAnsi="Times New Roman" w:eastAsia="Times New Roman" w:cs="Times New Roman"/>
          <w:color w:val="000000"/>
          <w:sz w:val="22"/>
          <w:u w:val="single"/>
        </w:rPr>
        <w:t xml:space="preserve">                                         </w:t>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w:t>
      </w:r>
      <w:r>
        <w:rPr>
          <w:rFonts w:ascii="Times New Roman" w:hAnsi="Times New Roman" w:eastAsia="Times New Roman" w:cs="Times New Roman"/>
          <w:color w:val="000000"/>
          <w:sz w:val="22"/>
          <w:u w:val="single"/>
        </w:rPr>
        <w:t xml:space="preserve">                                         </w:t>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法定代表人（单位负责人）有效期内的身份证正反面电子件：</w:t>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ab/>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委托代理人有效期内的身份证正反面电子件：</w:t>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ab/>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填报说明：</w:t>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1、若供应商为事业单位或其他组织或分支机构（仅当磋商文件注明允许分支机构投标的），则法定代表人（单位负责人）处的签署人可为单位负责人。</w:t>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2、若响应文件中全部签字之处均为法定代表人（单位负责人）本人签署，则可不提供本《授权委托书》，但须提供《法定代表人（单位负责人）身份证明》。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3、供应商为自然人的情形，可不提供本《授权委托书》。</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法定代表人身份证明</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致：【采购单位】</w:t>
      </w:r>
      <w:r/>
    </w:p>
    <w:p>
      <w:pPr>
        <w:ind w:left="0" w:right="0" w:firstLine="480"/>
        <w:jc w:val="both"/>
        <w:spacing w:before="0" w:after="0" w:line="85" w:lineRule="atLeast"/>
        <w:tabs>
          <w:tab w:val="left" w:pos="567" w:leader="none"/>
          <w:tab w:val="left" w:pos="2412" w:leader="none"/>
          <w:tab w:val="left" w:pos="3883" w:leader="none"/>
          <w:tab w:val="left" w:pos="5352" w:leader="none"/>
          <w:tab w:val="left" w:pos="68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兹证明，</w:t>
      </w:r>
      <w:r/>
    </w:p>
    <w:p>
      <w:pPr>
        <w:ind w:left="0" w:right="0" w:firstLine="480"/>
        <w:jc w:val="both"/>
        <w:spacing w:before="0" w:after="0" w:line="85" w:lineRule="atLeast"/>
        <w:tabs>
          <w:tab w:val="left" w:pos="567" w:leader="none"/>
          <w:tab w:val="left" w:pos="2412" w:leader="none"/>
          <w:tab w:val="left" w:pos="3883" w:leader="none"/>
          <w:tab w:val="left" w:pos="5352" w:leader="none"/>
          <w:tab w:val="left" w:pos="68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rPr>
          <w:rFonts w:ascii="SimSun" w:hAnsi="SimSun" w:eastAsia="SimSun" w:cs="SimSun"/>
          <w:color w:val="000000"/>
          <w:sz w:val="21"/>
          <w:u w:val="single"/>
        </w:rPr>
        <w:t xml:space="preserve">       </w:t>
      </w:r>
      <w:r>
        <w:rPr>
          <w:rFonts w:ascii="SimSun" w:hAnsi="SimSun" w:eastAsia="SimSun" w:cs="SimSun"/>
          <w:color w:val="000000"/>
          <w:sz w:val="21"/>
        </w:rPr>
        <w:t xml:space="preserve">性别：</w:t>
      </w:r>
      <w:r>
        <w:rPr>
          <w:rFonts w:ascii="SimSun" w:hAnsi="SimSun" w:eastAsia="SimSun" w:cs="SimSun"/>
          <w:color w:val="000000"/>
          <w:sz w:val="21"/>
          <w:u w:val="single"/>
        </w:rPr>
        <w:t xml:space="preserve">       </w:t>
      </w:r>
      <w:r>
        <w:rPr>
          <w:rFonts w:ascii="SimSun" w:hAnsi="SimSun" w:eastAsia="SimSun" w:cs="SimSun"/>
          <w:color w:val="000000"/>
          <w:sz w:val="21"/>
        </w:rPr>
        <w:t xml:space="preserve">年龄：</w:t>
      </w:r>
      <w:r>
        <w:rPr>
          <w:rFonts w:ascii="SimSun" w:hAnsi="SimSun" w:eastAsia="SimSun" w:cs="SimSun"/>
          <w:color w:val="000000"/>
          <w:sz w:val="21"/>
          <w:u w:val="single"/>
        </w:rPr>
        <w:t xml:space="preserve">       </w:t>
      </w:r>
      <w:r>
        <w:rPr>
          <w:rFonts w:ascii="SimSun" w:hAnsi="SimSun" w:eastAsia="SimSun" w:cs="SimSun"/>
          <w:color w:val="000000"/>
          <w:sz w:val="21"/>
        </w:rPr>
        <w:t xml:space="preserve">职务：</w:t>
      </w:r>
      <w:r>
        <w:rPr>
          <w:rFonts w:ascii="SimSun" w:hAnsi="SimSun" w:eastAsia="SimSun" w:cs="SimSun"/>
          <w:color w:val="000000"/>
          <w:sz w:val="21"/>
          <w:u w:val="single"/>
        </w:rPr>
        <w:t xml:space="preserve">       </w:t>
      </w:r>
      <w:r/>
    </w:p>
    <w:p>
      <w:pPr>
        <w:ind w:left="0" w:right="0" w:firstLine="0"/>
        <w:jc w:val="both"/>
        <w:spacing w:before="0" w:after="0" w:line="85" w:lineRule="atLeast"/>
        <w:tabs>
          <w:tab w:val="left" w:pos="567" w:leader="none"/>
          <w:tab w:val="left" w:pos="2412" w:leader="none"/>
          <w:tab w:val="left" w:pos="3883" w:leader="none"/>
          <w:tab w:val="left" w:pos="5352" w:leader="none"/>
          <w:tab w:val="left" w:pos="68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tabs>
          <w:tab w:val="left" w:pos="2250" w:leader="none"/>
          <w:tab w:val="left" w:pos="2412" w:leader="none"/>
          <w:tab w:val="left" w:pos="3883" w:leader="none"/>
          <w:tab w:val="left" w:pos="5352" w:leader="none"/>
          <w:tab w:val="left" w:pos="68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系</w:t>
      </w:r>
      <w:r>
        <w:rPr>
          <w:rFonts w:ascii="SimSun" w:hAnsi="SimSun" w:eastAsia="SimSun" w:cs="SimSun"/>
          <w:color w:val="000000"/>
          <w:sz w:val="21"/>
          <w:u w:val="single"/>
        </w:rPr>
        <w:tab/>
      </w:r>
      <w:r>
        <w:rPr>
          <w:rFonts w:ascii="SimSun" w:hAnsi="SimSun" w:eastAsia="SimSun" w:cs="SimSun"/>
          <w:color w:val="000000"/>
          <w:sz w:val="21"/>
        </w:rPr>
        <w:t xml:space="preserve">（供应商名称）的法定代表人（单位负责人）。</w:t>
      </w:r>
      <w:r/>
    </w:p>
    <w:p>
      <w:pPr>
        <w:ind w:left="0" w:right="0" w:firstLine="0"/>
        <w:jc w:val="both"/>
        <w:spacing w:before="0" w:after="0" w:line="85" w:lineRule="atLeast"/>
        <w:tabs>
          <w:tab w:val="left" w:pos="567" w:leader="none"/>
          <w:tab w:val="left" w:pos="2412" w:leader="none"/>
          <w:tab w:val="left" w:pos="3883" w:leader="none"/>
          <w:tab w:val="left" w:pos="5352" w:leader="none"/>
          <w:tab w:val="left" w:pos="68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tabs>
          <w:tab w:val="left" w:pos="567" w:leader="none"/>
          <w:tab w:val="left" w:pos="2412" w:leader="none"/>
          <w:tab w:val="left" w:pos="3883" w:leader="none"/>
          <w:tab w:val="left" w:pos="5352" w:leader="none"/>
          <w:tab w:val="left" w:pos="68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46" w:firstLine="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w:t>
      </w:r>
      <w:r>
        <w:rPr>
          <w:rFonts w:ascii="SimSun" w:hAnsi="SimSun" w:eastAsia="SimSun" w:cs="SimSun"/>
          <w:color w:val="000000"/>
          <w:spacing w:val="-3"/>
          <w:sz w:val="21"/>
        </w:rPr>
        <w:t xml:space="preserve">法</w:t>
      </w:r>
      <w:r>
        <w:rPr>
          <w:rFonts w:ascii="SimSun" w:hAnsi="SimSun" w:eastAsia="SimSun" w:cs="SimSun"/>
          <w:color w:val="000000"/>
          <w:sz w:val="21"/>
        </w:rPr>
        <w:t xml:space="preserve">定</w:t>
      </w:r>
      <w:r>
        <w:rPr>
          <w:rFonts w:ascii="SimSun" w:hAnsi="SimSun" w:eastAsia="SimSun" w:cs="SimSun"/>
          <w:color w:val="000000"/>
          <w:spacing w:val="-3"/>
          <w:sz w:val="21"/>
        </w:rPr>
        <w:t xml:space="preserve">代</w:t>
      </w:r>
      <w:r>
        <w:rPr>
          <w:rFonts w:ascii="SimSun" w:hAnsi="SimSun" w:eastAsia="SimSun" w:cs="SimSun"/>
          <w:color w:val="000000"/>
          <w:sz w:val="21"/>
        </w:rPr>
        <w:t xml:space="preserve">表</w:t>
      </w:r>
      <w:r>
        <w:rPr>
          <w:rFonts w:ascii="SimSun" w:hAnsi="SimSun" w:eastAsia="SimSun" w:cs="SimSun"/>
          <w:color w:val="000000"/>
          <w:spacing w:val="-3"/>
          <w:sz w:val="21"/>
        </w:rPr>
        <w:t xml:space="preserve">人</w:t>
      </w:r>
      <w:r>
        <w:rPr>
          <w:rFonts w:ascii="SimSun" w:hAnsi="SimSun" w:eastAsia="SimSun" w:cs="SimSun"/>
          <w:color w:val="000000"/>
          <w:sz w:val="21"/>
        </w:rPr>
        <w:t xml:space="preserve">（</w:t>
      </w:r>
      <w:r>
        <w:rPr>
          <w:rFonts w:ascii="SimSun" w:hAnsi="SimSun" w:eastAsia="SimSun" w:cs="SimSun"/>
          <w:color w:val="000000"/>
          <w:spacing w:val="-3"/>
          <w:sz w:val="21"/>
        </w:rPr>
        <w:t xml:space="preserve">单</w:t>
      </w:r>
      <w:r>
        <w:rPr>
          <w:rFonts w:ascii="SimSun" w:hAnsi="SimSun" w:eastAsia="SimSun" w:cs="SimSun"/>
          <w:color w:val="000000"/>
          <w:sz w:val="21"/>
        </w:rPr>
        <w:t xml:space="preserve">位</w:t>
      </w:r>
      <w:r>
        <w:rPr>
          <w:rFonts w:ascii="SimSun" w:hAnsi="SimSun" w:eastAsia="SimSun" w:cs="SimSun"/>
          <w:color w:val="000000"/>
          <w:spacing w:val="-3"/>
          <w:sz w:val="21"/>
        </w:rPr>
        <w:t xml:space="preserve">负</w:t>
      </w:r>
      <w:r>
        <w:rPr>
          <w:rFonts w:ascii="SimSun" w:hAnsi="SimSun" w:eastAsia="SimSun" w:cs="SimSun"/>
          <w:color w:val="000000"/>
          <w:sz w:val="21"/>
        </w:rPr>
        <w:t xml:space="preserve">责人</w:t>
      </w:r>
      <w:r>
        <w:rPr>
          <w:rFonts w:ascii="SimSun" w:hAnsi="SimSun" w:eastAsia="SimSun" w:cs="SimSun"/>
          <w:color w:val="000000"/>
          <w:spacing w:val="-3"/>
          <w:sz w:val="21"/>
        </w:rPr>
        <w:t xml:space="preserve">）有效期内的身份证正反面电子件。</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374"/>
        <w:gridCol w:w="4245"/>
      </w:tblGrid>
      <w:tr>
        <w:trPr>
          <w:trHeight w:val="195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74"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45"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4305" w:firstLine="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供应商：（公章）</w:t>
      </w:r>
      <w:r/>
    </w:p>
    <w:p>
      <w:pPr>
        <w:ind w:left="0" w:right="0" w:firstLine="40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法定代表人或授权代理人：（签字或盖章）</w:t>
      </w:r>
      <w:r/>
    </w:p>
    <w:p>
      <w:pPr>
        <w:ind w:left="0" w:right="0" w:firstLine="40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1．委托书内容填写应当明确、文字工整清楚，涂改无效。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2．委托书不得转借、转让、买卖。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3．委托代理人根据授权范围，以委托单位的名义签订合同，并将此委托书提交给采购单位作为合同附件。</w:t>
      </w:r>
      <w:r/>
    </w:p>
    <w:p>
      <w:pPr>
        <w:ind w:left="0" w:right="0" w:firstLine="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9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八、磋商响应函</w:t>
      </w:r>
      <w:r/>
    </w:p>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w:t>
      </w:r>
      <w:r/>
    </w:p>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(一)根据已收到的采购编号为</w:t>
      </w:r>
      <w:r>
        <w:rPr>
          <w:rFonts w:ascii="SimSun" w:hAnsi="SimSun" w:eastAsia="SimSun" w:cs="SimSun"/>
          <w:color w:val="000000"/>
          <w:sz w:val="21"/>
          <w:u w:val="single"/>
        </w:rPr>
        <w:t xml:space="preserve">         </w:t>
      </w:r>
      <w:r>
        <w:rPr>
          <w:rFonts w:ascii="SimSun" w:hAnsi="SimSun" w:eastAsia="SimSun" w:cs="SimSun"/>
          <w:color w:val="000000"/>
          <w:sz w:val="21"/>
        </w:rPr>
        <w:t xml:space="preserve">的</w:t>
      </w:r>
      <w:r>
        <w:rPr>
          <w:rFonts w:ascii="SimSun" w:hAnsi="SimSun" w:eastAsia="SimSun" w:cs="SimSun"/>
          <w:color w:val="000000"/>
          <w:sz w:val="21"/>
          <w:u w:val="single"/>
        </w:rPr>
        <w:t xml:space="preserve">           </w:t>
      </w:r>
      <w:r>
        <w:rPr>
          <w:rFonts w:ascii="SimSun" w:hAnsi="SimSun" w:eastAsia="SimSun" w:cs="SimSun"/>
          <w:color w:val="000000"/>
          <w:sz w:val="21"/>
        </w:rPr>
        <w:t xml:space="preserve">工程的磋商文件(包括补充通知)，遵照《中华人民共和国政府采购法》及相关法律的规定，我单位经考察现场和研究上述工程磋商文件后，我方愿以人民币</w:t>
      </w:r>
      <w:r>
        <w:rPr>
          <w:rFonts w:ascii="SimSun" w:hAnsi="SimSun" w:eastAsia="SimSun" w:cs="SimSun"/>
          <w:color w:val="000000"/>
          <w:sz w:val="21"/>
          <w:u w:val="single"/>
        </w:rPr>
        <w:t xml:space="preserve">         </w:t>
      </w:r>
      <w:r>
        <w:rPr>
          <w:rFonts w:ascii="SimSun" w:hAnsi="SimSun" w:eastAsia="SimSun" w:cs="SimSun"/>
          <w:color w:val="000000"/>
          <w:sz w:val="21"/>
        </w:rPr>
        <w:t xml:space="preserve">元(大写)</w:t>
      </w:r>
      <w:r>
        <w:rPr>
          <w:rFonts w:ascii="SimSun" w:hAnsi="SimSun" w:eastAsia="SimSun" w:cs="SimSun"/>
          <w:color w:val="000000"/>
          <w:sz w:val="21"/>
          <w:u w:val="single"/>
        </w:rPr>
        <w:t xml:space="preserve">        </w:t>
      </w:r>
      <w:r>
        <w:rPr>
          <w:rFonts w:ascii="SimSun" w:hAnsi="SimSun" w:eastAsia="SimSun" w:cs="SimSun"/>
          <w:color w:val="000000"/>
          <w:sz w:val="21"/>
        </w:rPr>
        <w:t xml:space="preserve">的总价，按磋商文件的要求承包本次采购范围内的全部工程，并承担相关的责任。</w:t>
      </w:r>
      <w:r/>
    </w:p>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我方提交的磋商响应文件(包括磋商报价书、已标价的工程量清单和其他响应文件)在磋商截止时间后的60天内有效，在此期间被你方接受的上述文件对我方一直具有约束力。我方保证在响应文件有效期内不撤回响应文件，除磋商文件另有规定外，不修改响应文件。</w:t>
      </w:r>
      <w:r/>
    </w:p>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(三)我单位保证在收到贵单位发出的书面开工令后立即开工，并在</w:t>
      </w:r>
      <w:r>
        <w:rPr>
          <w:rFonts w:ascii="SimSun" w:hAnsi="SimSun" w:eastAsia="SimSun" w:cs="SimSun"/>
          <w:color w:val="000000"/>
          <w:sz w:val="21"/>
          <w:u w:val="single"/>
        </w:rPr>
        <w:t xml:space="preserve">      </w:t>
      </w:r>
      <w:r>
        <w:rPr>
          <w:rFonts w:ascii="SimSun" w:hAnsi="SimSun" w:eastAsia="SimSun" w:cs="SimSun"/>
          <w:color w:val="000000"/>
          <w:sz w:val="21"/>
        </w:rPr>
        <w:t xml:space="preserve">日历天内竣工。</w:t>
      </w:r>
      <w:r/>
    </w:p>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(四)我单位保证本工程质量达到</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(五)我单位保证在成交后派出项目负责人</w:t>
      </w:r>
      <w:r>
        <w:rPr>
          <w:rFonts w:ascii="SimSun" w:hAnsi="SimSun" w:eastAsia="SimSun" w:cs="SimSun"/>
          <w:color w:val="000000"/>
          <w:sz w:val="21"/>
          <w:u w:val="single"/>
        </w:rPr>
        <w:t xml:space="preserve">   (姓名)   </w:t>
      </w:r>
      <w:r>
        <w:rPr>
          <w:rFonts w:ascii="SimSun" w:hAnsi="SimSun" w:eastAsia="SimSun" w:cs="SimSun"/>
          <w:color w:val="000000"/>
          <w:sz w:val="21"/>
        </w:rPr>
        <w:t xml:space="preserve">同志(身份证号：</w:t>
      </w:r>
      <w:r>
        <w:rPr>
          <w:rFonts w:ascii="SimSun" w:hAnsi="SimSun" w:eastAsia="SimSun" w:cs="SimSun"/>
          <w:color w:val="000000"/>
          <w:sz w:val="21"/>
          <w:u w:val="single"/>
        </w:rPr>
        <w:t xml:space="preserve">         </w:t>
      </w:r>
      <w:r>
        <w:rPr>
          <w:rFonts w:ascii="SimSun" w:hAnsi="SimSun" w:eastAsia="SimSun" w:cs="SimSun"/>
          <w:color w:val="000000"/>
          <w:sz w:val="21"/>
        </w:rPr>
        <w:t xml:space="preserve">)全面负责本工程的施工。</w:t>
      </w:r>
      <w:r/>
    </w:p>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(六)贵单位所发出的磋商文件、成交通知书和本响应文件将构成约束我们双方的合同。</w:t>
      </w:r>
      <w:r/>
    </w:p>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磋商供应商：</w:t>
      </w:r>
      <w:r>
        <w:rPr>
          <w:rFonts w:ascii="SimSun" w:hAnsi="SimSun" w:eastAsia="SimSun" w:cs="SimSun"/>
          <w:color w:val="000000"/>
          <w:sz w:val="21"/>
          <w:u w:val="single"/>
        </w:rPr>
        <w:t xml:space="preserve">(盖章)</w:t>
      </w:r>
      <w:r/>
    </w:p>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单位地址：</w:t>
      </w:r>
      <w:r/>
    </w:p>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邮政编码：</w:t>
      </w:r>
      <w:r/>
    </w:p>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法定代表人或委托代理人(签字或盖章)：</w:t>
      </w:r>
      <w:r/>
    </w:p>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p>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w:t>
      </w:r>
      <w:r/>
    </w:p>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开户银行名称：</w:t>
      </w:r>
      <w:r/>
    </w:p>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银行账号：</w:t>
      </w:r>
      <w:r/>
    </w:p>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开户行地址：</w:t>
      </w:r>
      <w:r/>
    </w:p>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九、中小企业声明函</w:t>
      </w:r>
      <w:r/>
    </w:p>
    <w:p>
      <w:pPr>
        <w:ind w:left="0" w:right="0" w:firstLine="420"/>
        <w:jc w:val="both"/>
        <w:spacing w:before="21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本公司郑重声明，根据《政府采购促进中小企业发展管理办法》（财库﹝2020﹞46 号）的规定，本公司参加</w:t>
      </w:r>
      <w:r>
        <w:rPr>
          <w:rFonts w:ascii="SimSun" w:hAnsi="SimSun" w:eastAsia="SimSun" w:cs="SimSun"/>
          <w:color w:val="000000"/>
          <w:sz w:val="21"/>
          <w:u w:val="single"/>
        </w:rPr>
        <w:t xml:space="preserve">           （单位名称）</w:t>
      </w:r>
      <w:r>
        <w:rPr>
          <w:rFonts w:ascii="SimSun" w:hAnsi="SimSun" w:eastAsia="SimSun" w:cs="SimSun"/>
          <w:color w:val="000000"/>
          <w:sz w:val="21"/>
        </w:rPr>
        <w:t xml:space="preserve">的 </w:t>
      </w:r>
      <w:r>
        <w:rPr>
          <w:rFonts w:ascii="SimSun" w:hAnsi="SimSun" w:eastAsia="SimSun" w:cs="SimSun"/>
          <w:color w:val="000000"/>
          <w:sz w:val="21"/>
          <w:u w:val="single"/>
        </w:rPr>
        <w:t xml:space="preserve">  （项目名称）</w:t>
      </w:r>
      <w:r>
        <w:rPr>
          <w:rFonts w:ascii="SimSun" w:hAnsi="SimSun" w:eastAsia="SimSun" w:cs="SimSun"/>
          <w:color w:val="000000"/>
          <w:sz w:val="21"/>
        </w:rPr>
        <w:t xml:space="preserve"> 采购活动，工程的施工单位全部为符合政策要求的中小企业。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（标的名称）</w:t>
      </w:r>
      <w:r>
        <w:rPr>
          <w:rFonts w:ascii="SimSun" w:hAnsi="SimSun" w:eastAsia="SimSun" w:cs="SimSun"/>
          <w:color w:val="000000"/>
          <w:sz w:val="21"/>
        </w:rPr>
        <w:t xml:space="preserve"> ，属于</w:t>
      </w:r>
      <w:r>
        <w:rPr>
          <w:rFonts w:ascii="SimSun" w:hAnsi="SimSun" w:eastAsia="SimSun" w:cs="SimSun"/>
          <w:color w:val="000000"/>
          <w:sz w:val="21"/>
          <w:u w:val="single"/>
        </w:rPr>
        <w:t xml:space="preserve">（采购文件中明确的所属行业）</w:t>
      </w:r>
      <w:r>
        <w:rPr>
          <w:rFonts w:ascii="SimSun" w:hAnsi="SimSun" w:eastAsia="SimSun" w:cs="SimSun"/>
          <w:color w:val="000000"/>
          <w:sz w:val="21"/>
        </w:rPr>
        <w:t xml:space="preserve"> 行业；承建企业为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，从业人员人，营业收入为万元，资产总额为万元，属于</w:t>
      </w:r>
      <w:r>
        <w:rPr>
          <w:rFonts w:ascii="SimSun" w:hAnsi="SimSun" w:eastAsia="SimSun" w:cs="SimSun"/>
          <w:color w:val="000000"/>
          <w:sz w:val="21"/>
          <w:u w:val="single"/>
        </w:rPr>
        <w:t xml:space="preserve">（中型企业、小型企业、微型企业）</w:t>
      </w:r>
      <w:r>
        <w:rPr>
          <w:rFonts w:ascii="SimSun" w:hAnsi="SimSun" w:eastAsia="SimSun" w:cs="SimSun"/>
          <w:color w:val="000000"/>
          <w:sz w:val="21"/>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企业名称（盖章）：</w:t>
      </w:r>
      <w:r>
        <w:rPr>
          <w:rFonts w:ascii="SimSun" w:hAnsi="SimSun" w:eastAsia="SimSun" w:cs="SimSun"/>
          <w:color w:val="000000"/>
          <w:sz w:val="21"/>
          <w:u w:val="single"/>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w:t>
      </w:r>
      <w:r>
        <w:rPr>
          <w:rFonts w:ascii="SimSun" w:hAnsi="SimSun" w:eastAsia="SimSun" w:cs="SimSun"/>
          <w:color w:val="000000"/>
          <w:sz w:val="21"/>
          <w:u w:val="single"/>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填报说明：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1、从业人员、营业收入、资产总额填报上一年度数据，无上一年度数据的新成立企业可不填报。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2、请供应商如实填写，所填内容将作为评审的依据。如填写不完整，将不享受扶持政策。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3、成交供应商的《中小企业声明函》随成交结果公开。</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十、残疾人福利性单位声明函</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 民政部 中国残疾人联合会关于促进残疾人就业政府采购政策的通知》（财库〔2017〕141号）的规定，本单位为符合条件的残疾人福利性单位，且本单位参加</w:t>
      </w:r>
      <w:r>
        <w:rPr>
          <w:rFonts w:ascii="SimSun" w:hAnsi="SimSun" w:eastAsia="SimSun" w:cs="SimSun"/>
          <w:color w:val="000000"/>
          <w:sz w:val="21"/>
          <w:u w:val="single"/>
        </w:rPr>
        <w:t xml:space="preserve">       </w:t>
      </w:r>
      <w:r>
        <w:rPr>
          <w:rFonts w:ascii="SimSun" w:hAnsi="SimSun" w:eastAsia="SimSun" w:cs="SimSun"/>
          <w:color w:val="000000"/>
          <w:sz w:val="21"/>
        </w:rPr>
        <w:t xml:space="preserve">单位的采购文件编号为</w:t>
      </w:r>
      <w:r>
        <w:rPr>
          <w:rFonts w:ascii="SimSun" w:hAnsi="SimSun" w:eastAsia="SimSun" w:cs="SimSun"/>
          <w:color w:val="000000"/>
          <w:sz w:val="21"/>
          <w:u w:val="single"/>
        </w:rPr>
        <w:t xml:space="preserve">       </w:t>
      </w:r>
      <w:r>
        <w:rPr>
          <w:rFonts w:ascii="SimSun" w:hAnsi="SimSun" w:eastAsia="SimSun" w:cs="SimSun"/>
          <w:color w:val="000000"/>
          <w:sz w:val="21"/>
        </w:rPr>
        <w:t xml:space="preserve">的</w:t>
      </w:r>
      <w:r>
        <w:rPr>
          <w:rFonts w:ascii="SimSun" w:hAnsi="SimSun" w:eastAsia="SimSun" w:cs="SimSun"/>
          <w:color w:val="000000"/>
          <w:sz w:val="21"/>
          <w:u w:val="single"/>
        </w:rPr>
        <w:t xml:space="preserve">       </w:t>
      </w:r>
      <w:r>
        <w:rPr>
          <w:rFonts w:ascii="SimSun" w:hAnsi="SimSun" w:eastAsia="SimSun" w:cs="SimSun"/>
          <w:color w:val="000000"/>
          <w:sz w:val="21"/>
        </w:rPr>
        <w:t xml:space="preserve">项目采购活动由本单位承建。</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（备注：1、供应商如不提供此声明函，价格将不做相应扣除。2、成交供应商为残疾人福利单位的，此声明函将随成交结果同时公告，接受社会监督）</w:t>
      </w:r>
      <w:r/>
    </w:p>
    <w:p>
      <w:pPr>
        <w:ind w:left="0" w:right="0" w:firstLine="624"/>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 </w:t>
      </w:r>
      <w:r/>
    </w:p>
    <w:p>
      <w:pPr>
        <w:ind w:left="0" w:right="1560" w:firstLine="624"/>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             </w:t>
      </w:r>
      <w:r>
        <w:rPr>
          <w:rFonts w:ascii="SimSun" w:hAnsi="SimSun" w:eastAsia="SimSun" w:cs="SimSun"/>
          <w:color w:val="000000"/>
          <w:sz w:val="21"/>
        </w:rPr>
        <w:t xml:space="preserve">          供应商全称（盖章）：</w:t>
      </w:r>
      <w:r/>
    </w:p>
    <w:p>
      <w:pPr>
        <w:ind w:left="0" w:right="1560" w:firstLine="480"/>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十一、磋商响应报价表</w:t>
      </w:r>
      <w:r/>
    </w:p>
    <w:p>
      <w:pPr>
        <w:ind w:left="0" w:right="0" w:firstLine="420"/>
        <w:jc w:val="both"/>
        <w:spacing w:before="21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36"/>
        <w:gridCol w:w="7588"/>
      </w:tblGrid>
      <w:tr>
        <w:trPr>
          <w:trHeight w:val="131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   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8" w:type="dxa"/>
            <w:vAlign w:val="center"/>
            <w:textDirection w:val="lrTb"/>
            <w:noWrap w:val="false"/>
          </w:tcPr>
          <w:p>
            <w:pPr>
              <w:ind w:left="0" w:right="0" w:firstLine="1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p>
            <w:pPr>
              <w:ind w:left="0" w:right="0" w:firstLine="1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c>
      </w:tr>
      <w:tr>
        <w:trPr>
          <w:trHeight w:val="19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6" w:type="dxa"/>
            <w:vAlign w:val="center"/>
            <w:textDirection w:val="lrTb"/>
            <w:noWrap w:val="false"/>
          </w:tcPr>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8"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人民币（大写）：</w:t>
            </w:r>
            <w:r/>
          </w:p>
          <w:p>
            <w:pPr>
              <w:ind w:left="0" w:right="0" w:firstLine="113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（小写）：</w:t>
            </w:r>
            <w:r/>
          </w:p>
        </w:tc>
      </w:tr>
      <w:tr>
        <w:trPr>
          <w:trHeight w:val="16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6" w:type="dxa"/>
            <w:vAlign w:val="center"/>
            <w:textDirection w:val="lrTb"/>
            <w:noWrap w:val="false"/>
          </w:tcPr>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8" w:type="dxa"/>
            <w:vAlign w:val="center"/>
            <w:textDirection w:val="lrTb"/>
            <w:noWrap w:val="false"/>
          </w:tcPr>
          <w:p>
            <w:pPr>
              <w:ind w:left="359"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日历天</w:t>
            </w:r>
            <w:r/>
          </w:p>
        </w:tc>
      </w:tr>
      <w:tr>
        <w:trPr>
          <w:trHeight w:val="165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4" w:type="dxa"/>
            <w:vAlign w:val="center"/>
            <w:textDirection w:val="lrTb"/>
            <w:noWrap w:val="false"/>
          </w:tcPr>
          <w:p>
            <w:pPr>
              <w:ind w:left="359"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质量标准：</w:t>
            </w:r>
            <w:r/>
          </w:p>
          <w:p>
            <w:pPr>
              <w:ind w:left="359"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w:t>
            </w:r>
            <w:r/>
          </w:p>
          <w:p>
            <w:pPr>
              <w:ind w:left="359"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投标资质：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磋商供应商（公章）：</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法定代表人或授权代表人（签名）：</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年月日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注:①磋商报价应包括磋商文件所确定的采购范围的全部内容，但该</w:t>
      </w:r>
      <w:r>
        <w:rPr>
          <w:rFonts w:ascii="SimSun" w:hAnsi="SimSun" w:eastAsia="SimSun" w:cs="SimSun"/>
          <w:b/>
          <w:color w:val="000000"/>
          <w:sz w:val="21"/>
        </w:rPr>
        <w:t xml:space="preserve">表报价非本次磋商的最后报价</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十二、已标价的工程量清单</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十三、技术文件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技术方案</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（供应商按“项目需求”等内容要求自行填写，格式自定）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十四、商务要求响应及偏离表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4"/>
        <w:gridCol w:w="3092"/>
        <w:gridCol w:w="2908"/>
        <w:gridCol w:w="125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4"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9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磋商文件要求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0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偏离说明</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 行数不够，可自行添加。“偏离说明”填写“正偏离”“负偏离”或“无偏离”。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磋商供应商（公章）：</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法定代表人或授权代表人（签名）：</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年月日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十五、企业类似业绩一览表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3"/>
        <w:gridCol w:w="1888"/>
        <w:gridCol w:w="1214"/>
        <w:gridCol w:w="1207"/>
        <w:gridCol w:w="1628"/>
        <w:gridCol w:w="1062"/>
      </w:tblGrid>
      <w:tr>
        <w:trPr>
          <w:trHeight w:val="111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项目金额（元）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5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1、供应商根据评标方法与评标标准的要求提供，并附相关证明资料；</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2、行数不够，自行添加。</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十六、项目管理及技术人员一览表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70"/>
        <w:gridCol w:w="2040"/>
        <w:gridCol w:w="1840"/>
        <w:gridCol w:w="945"/>
        <w:gridCol w:w="1005"/>
        <w:gridCol w:w="1165"/>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7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  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4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本项目拟任职务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技术职称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学历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659"/>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注：如成交，本项目团队人员必须按本表承诺人员参与实际操作，不得随意更换；</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十七、供应商认为需要提供的其他材料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十八、供应商承诺书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供应商承诺书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我公司参与贵单位</w:t>
      </w:r>
      <w:r>
        <w:rPr>
          <w:rFonts w:ascii="SimSun" w:hAnsi="SimSun" w:eastAsia="SimSun" w:cs="SimSun"/>
          <w:color w:val="000000"/>
          <w:sz w:val="22"/>
          <w:u w:val="single"/>
        </w:rPr>
        <w:t xml:space="preserve">                   </w:t>
      </w:r>
      <w:r>
        <w:rPr>
          <w:rFonts w:ascii="SimSun" w:hAnsi="SimSun" w:eastAsia="SimSun" w:cs="SimSun"/>
          <w:color w:val="000000"/>
          <w:sz w:val="22"/>
        </w:rPr>
        <w:t xml:space="preserve">项目的磋商工作，我单位郑重承诺：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1、不出借挂靠资质；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授权委托代表参与投标全过程（含开评标、异议、投诉环节）工作。开评标如非该委托授权代理人参与，则视为未实质响应招标文件要求；后期如发生异议或投诉，也将授权委托投标时授权委托代表本人参与处理，本单位法定代表人将在异议或投诉书中真实署名并实际参与招标人或管理部门的质询，否则，异议或投诉不成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2、投标全过程（含异议、投诉环节）出示的文件资料均是真实、有效的。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3、我公司</w:t>
      </w:r>
      <w:r>
        <w:rPr>
          <w:rFonts w:ascii="SimSun" w:hAnsi="SimSun" w:eastAsia="SimSun" w:cs="SimSun"/>
          <w:color w:val="000000"/>
          <w:sz w:val="22"/>
          <w:u w:val="single"/>
        </w:rPr>
        <w:t xml:space="preserve">        </w:t>
      </w:r>
      <w:r>
        <w:rPr>
          <w:rFonts w:ascii="SimSun" w:hAnsi="SimSun" w:eastAsia="SimSun" w:cs="SimSun"/>
          <w:color w:val="000000"/>
          <w:sz w:val="22"/>
        </w:rPr>
        <w:t xml:space="preserve">（超过3年）、法定代表人</w:t>
      </w:r>
      <w:r>
        <w:rPr>
          <w:rFonts w:ascii="SimSun" w:hAnsi="SimSun" w:eastAsia="SimSun" w:cs="SimSun"/>
          <w:color w:val="000000"/>
          <w:sz w:val="22"/>
          <w:u w:val="single"/>
        </w:rPr>
        <w:t xml:space="preserve">        </w:t>
      </w:r>
      <w:r>
        <w:rPr>
          <w:rFonts w:ascii="SimSun" w:hAnsi="SimSun" w:eastAsia="SimSun" w:cs="SimSun"/>
          <w:color w:val="000000"/>
          <w:sz w:val="22"/>
        </w:rPr>
        <w:t xml:space="preserve">（超过5年）、项目负责人</w:t>
      </w:r>
      <w:r>
        <w:rPr>
          <w:rFonts w:ascii="SimSun" w:hAnsi="SimSun" w:eastAsia="SimSun" w:cs="SimSun"/>
          <w:color w:val="000000"/>
          <w:sz w:val="22"/>
          <w:u w:val="single"/>
        </w:rPr>
        <w:t xml:space="preserve">        </w:t>
      </w:r>
      <w:r>
        <w:rPr>
          <w:rFonts w:ascii="SimSun" w:hAnsi="SimSun" w:eastAsia="SimSun" w:cs="SimSun"/>
          <w:color w:val="000000"/>
          <w:sz w:val="22"/>
        </w:rPr>
        <w:t xml:space="preserve">（超过5年）无行贿犯罪记录，时间从发布本招标公告之日起开始倒推。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4、我公司</w:t>
      </w:r>
      <w:r>
        <w:rPr>
          <w:rFonts w:ascii="SimSun" w:hAnsi="SimSun" w:eastAsia="SimSun" w:cs="SimSun"/>
          <w:color w:val="000000"/>
          <w:sz w:val="22"/>
          <w:u w:val="single"/>
        </w:rPr>
        <w:t xml:space="preserve">        </w:t>
      </w:r>
      <w:r>
        <w:rPr>
          <w:rFonts w:ascii="SimSun" w:hAnsi="SimSun" w:eastAsia="SimSun" w:cs="SimSun"/>
          <w:color w:val="000000"/>
          <w:sz w:val="22"/>
        </w:rPr>
        <w:t xml:space="preserve">、法定代表人</w:t>
      </w:r>
      <w:r>
        <w:rPr>
          <w:rFonts w:ascii="SimSun" w:hAnsi="SimSun" w:eastAsia="SimSun" w:cs="SimSun"/>
          <w:color w:val="000000"/>
          <w:sz w:val="22"/>
          <w:u w:val="single"/>
        </w:rPr>
        <w:t xml:space="preserve">          </w:t>
      </w:r>
      <w:r>
        <w:rPr>
          <w:rFonts w:ascii="SimSun" w:hAnsi="SimSun" w:eastAsia="SimSun" w:cs="SimSun"/>
          <w:color w:val="000000"/>
          <w:sz w:val="22"/>
        </w:rPr>
        <w:t xml:space="preserve">、项目负责人</w:t>
      </w:r>
      <w:r>
        <w:rPr>
          <w:rFonts w:ascii="SimSun" w:hAnsi="SimSun" w:eastAsia="SimSun" w:cs="SimSun"/>
          <w:color w:val="000000"/>
          <w:sz w:val="22"/>
          <w:u w:val="single"/>
        </w:rPr>
        <w:t xml:space="preserve">          </w:t>
      </w:r>
      <w:r>
        <w:rPr>
          <w:rFonts w:ascii="SimSun" w:hAnsi="SimSun" w:eastAsia="SimSun" w:cs="SimSun"/>
          <w:color w:val="000000"/>
          <w:sz w:val="22"/>
        </w:rPr>
        <w:t xml:space="preserve">非失信被执行人。企业、法定代表人及项目负责人无不良行为。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5、我单位没有因骗取中标或者严重违约以及发生重大工程质量、安全生产事故等违法违规问题，被有关部门暂停投标资格并在暂停期内；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6、我单位本次投标不存在以下情况：磋商单位负责人为同一人或者存在直接控股、管理关系的不同供应商，参加同一合同项下的政府采购活动。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7、所报项目负责人</w:t>
      </w:r>
      <w:r>
        <w:rPr>
          <w:rFonts w:ascii="SimSun" w:hAnsi="SimSun" w:eastAsia="SimSun" w:cs="SimSun"/>
          <w:color w:val="000000"/>
          <w:sz w:val="22"/>
          <w:u w:val="single"/>
        </w:rPr>
        <w:t xml:space="preserve">           </w:t>
      </w:r>
      <w:r>
        <w:rPr>
          <w:rFonts w:ascii="SimSun" w:hAnsi="SimSun" w:eastAsia="SimSun" w:cs="SimSun"/>
          <w:color w:val="000000"/>
          <w:sz w:val="22"/>
        </w:rPr>
        <w:t xml:space="preserve">同志无在建工程；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8、本单位及所报项目负责人</w:t>
      </w:r>
      <w:r>
        <w:rPr>
          <w:rFonts w:ascii="SimSun" w:hAnsi="SimSun" w:eastAsia="SimSun" w:cs="SimSun"/>
          <w:color w:val="000000"/>
          <w:sz w:val="22"/>
          <w:u w:val="single"/>
        </w:rPr>
        <w:t xml:space="preserve">        </w:t>
      </w:r>
      <w:r>
        <w:rPr>
          <w:rFonts w:ascii="SimSun" w:hAnsi="SimSun" w:eastAsia="SimSun" w:cs="SimSun"/>
          <w:color w:val="000000"/>
          <w:sz w:val="22"/>
        </w:rPr>
        <w:t xml:space="preserve">未被建设行政主管部门限制在招标项目所在地投标；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9、我单位保证投标时（包括投标有效期内）非建筑业企业资质动态监管不合格企业，否则我单位将主动放弃中标资格；其余执行苏建招办〔2022〕2号文、江苏省住房和城乡建设厅公告〔2018〕6号文等文件规定；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10、本单位承诺本项目成交后不会分包或转包。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综上，我单位承诺如有虚假，愿意无条件接受被取消投标或中标（候选人）资格、投标保证金不予退还、履约保证金不予退还、合同解除及清除出场，一切损失由我单位自行承担，同时愿意接受相关处罚，特此承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磋商供应商：（公章）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法定代表人：（签字或盖章）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项目负责人：（签字）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项目负责人证书编号：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日期：年月日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支持绿色发展证明材料（如有）</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质疑函范本</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一、质疑供应商基本信息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质疑供应商：</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rPr>
          <w:rFonts w:ascii="SimSun" w:hAnsi="SimSun" w:eastAsia="SimSun" w:cs="SimSun"/>
          <w:color w:val="000000"/>
          <w:sz w:val="21"/>
          <w:u w:val="single"/>
        </w:rPr>
        <w:t xml:space="preserve">                             </w:t>
      </w:r>
      <w:r>
        <w:rPr>
          <w:rFonts w:ascii="SimSun" w:hAnsi="SimSun" w:eastAsia="SimSun" w:cs="SimSun"/>
          <w:color w:val="000000"/>
          <w:sz w:val="21"/>
        </w:rPr>
        <w:t xml:space="preserve">邮编：</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w:t>
      </w:r>
      <w:r>
        <w:rPr>
          <w:rFonts w:ascii="SimSun" w:hAnsi="SimSun" w:eastAsia="SimSun" w:cs="SimSun"/>
          <w:color w:val="000000"/>
          <w:sz w:val="21"/>
          <w:u w:val="single"/>
        </w:rPr>
        <w:t xml:space="preserve">                      </w:t>
      </w:r>
      <w:r>
        <w:rPr>
          <w:rFonts w:ascii="SimSun" w:hAnsi="SimSun" w:eastAsia="SimSun" w:cs="SimSun"/>
          <w:color w:val="000000"/>
          <w:sz w:val="21"/>
        </w:rPr>
        <w:t xml:space="preserve">联系电话：</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 </w:t>
      </w:r>
      <w:r>
        <w:rPr>
          <w:rFonts w:ascii="SimSun" w:hAnsi="SimSun" w:eastAsia="SimSun" w:cs="SimSun"/>
          <w:color w:val="000000"/>
          <w:sz w:val="21"/>
          <w:u w:val="single"/>
        </w:rPr>
        <w:t xml:space="preserve">                        </w:t>
      </w:r>
      <w:r>
        <w:rPr>
          <w:rFonts w:ascii="SimSun" w:hAnsi="SimSun" w:eastAsia="SimSun" w:cs="SimSun"/>
          <w:color w:val="000000"/>
          <w:sz w:val="21"/>
        </w:rPr>
        <w:t xml:space="preserve">邮编：</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二、质疑项目基本情况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质疑项目的名称：</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质疑项目的编号：</w:t>
      </w:r>
      <w:r>
        <w:rPr>
          <w:rFonts w:ascii="SimSun" w:hAnsi="SimSun" w:eastAsia="SimSun" w:cs="SimSun"/>
          <w:color w:val="000000"/>
          <w:sz w:val="21"/>
          <w:u w:val="single"/>
        </w:rPr>
        <w:t xml:space="preserve">                         </w:t>
      </w:r>
      <w:r>
        <w:rPr>
          <w:rFonts w:ascii="SimSun" w:hAnsi="SimSun" w:eastAsia="SimSun" w:cs="SimSun"/>
          <w:color w:val="000000"/>
          <w:sz w:val="21"/>
        </w:rPr>
        <w:t xml:space="preserve">包号：</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采购人名称：</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采购文件获取日期：</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三、质疑事项具体内容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质疑事项1：</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事实依据：</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法律依据：</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质疑事项2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四、与质疑事项相关的质疑请求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请求：</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签字(签章)：                   公章：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质疑函制作说明：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1.供应商提出质疑时，应提交质疑函和必要的证明材料。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3.质疑供应商若对项目的某一分包进行质疑，质疑函中应列明具体分包号。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4.质疑函的质疑事项应具体、明确，并有必要的事实依据和法律依据。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5.质疑函的质疑请求应与质疑事项相关。</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6.质疑供应商为自然人的，质疑函应由本人签字；质疑供应商为法人或者其他组织的，质疑函应由法定代表人、主要负责人，或者其授权代表签字或者盖章，并加盖公章。</w:t>
      </w:r>
      <w:r/>
    </w:p>
    <w:p>
      <w:r/>
      <w:r/>
    </w:p>
    <w:sectPr>
      <w:footerReference w:type="default" r:id="rId9"/>
      <w:footerReference w:type="first" r:id="rId10"/>
      <w:footnotePr/>
      <w:endnotePr/>
      <w:type w:val="nextPage"/>
      <w:pgSz w:w="11906" w:h="16838" w:orient="portrait"/>
      <w:pgMar w:top="1440" w:right="1800" w:bottom="1440" w:left="1800"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Cambria">
    <w:panose1 w:val="02040503050406030204"/>
  </w:font>
  <w:font w:name="Adobe 仿宋 Std R">
    <w:panose1 w:val="020B0503020202020204"/>
  </w:font>
  <w:font w:name="Courier New">
    <w:panose1 w:val="02070309020205020404"/>
  </w:font>
  <w:font w:name="幼圆">
    <w:panose1 w:val="02010509060101010101"/>
  </w:font>
  <w:font w:name="黑体">
    <w:panose1 w:val="02010609060101010101"/>
  </w:font>
  <w:font w:name="Verdana">
    <w:panose1 w:val="020B0604030504040204"/>
  </w:font>
  <w:font w:name="仿宋_GB2312">
    <w:panose1 w:val="02010609060101010101"/>
  </w:font>
  <w:font w:name="楷体_GB2312">
    <w:panose1 w:val="02010609060101010101"/>
  </w:font>
  <w:font w:name="Arial Unicode MS">
    <w:panose1 w:val="020B0604020202020204"/>
  </w:font>
  <w:font w:name="Arial">
    <w:panose1 w:val="020B0604020202020204"/>
  </w:font>
  <w:font w:name="SimSun">
    <w:panose1 w:val="0201060003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0"/>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posOffset>2470150</wp:posOffset>
              </wp:positionH>
              <wp:positionV relativeFrom="paragraph">
                <wp:posOffset>-52704</wp:posOffset>
              </wp:positionV>
              <wp:extent cx="446405" cy="37465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446405" cy="374650"/>
                      </a:xfrm>
                      <a:prstGeom prst="rect">
                        <a:avLst/>
                      </a:prstGeom>
                      <a:noFill/>
                      <a:ln w="6350">
                        <a:noFill/>
                      </a:ln>
                    </wps:spPr>
                    <wps:txbx>
                      <w:txbxContent>
                        <w:p>
                          <w:pPr>
                            <w:pStyle w:val="869"/>
                            <w:jc w:val="center"/>
                            <w:tabs>
                              <w:tab w:val="clear" w:pos="7143" w:leader="none"/>
                              <w:tab w:val="clear" w:pos="14287" w:leader="none"/>
                            </w:tabs>
                            <w:rPr>
                              <w:rFonts w:hint="eastAsia" w:ascii="宋体" w:hAnsi="宋体" w:cs="宋体"/>
                              <w:sz w:val="16"/>
                              <w:szCs w:val="20"/>
                            </w:rPr>
                          </w:pPr>
                          <w:r>
                            <w:rPr>
                              <w:rFonts w:hint="eastAsia" w:ascii="宋体" w:hAnsi="宋体" w:cs="宋体"/>
                              <w:sz w:val="16"/>
                              <w:szCs w:val="20"/>
                            </w:rPr>
                            <w:fldChar w:fldCharType="begin"/>
                          </w:r>
                          <w:r>
                            <w:rPr>
                              <w:rFonts w:hint="eastAsia" w:ascii="宋体" w:hAnsi="宋体" w:cs="宋体"/>
                              <w:sz w:val="16"/>
                              <w:szCs w:val="20"/>
                            </w:rPr>
                            <w:instrText xml:space="preserve"> PAGE  \* MERGEFORMAT </w:instrText>
                          </w:r>
                          <w:r>
                            <w:rPr>
                              <w:rFonts w:hint="eastAsia" w:ascii="宋体" w:hAnsi="宋体" w:cs="宋体"/>
                              <w:sz w:val="16"/>
                              <w:szCs w:val="20"/>
                            </w:rPr>
                            <w:fldChar w:fldCharType="separate"/>
                          </w:r>
                          <w:r>
                            <w:rPr>
                              <w:rFonts w:hint="eastAsia" w:ascii="宋体" w:hAnsi="宋体" w:cs="宋体"/>
                              <w:sz w:val="16"/>
                              <w:szCs w:val="20"/>
                            </w:rPr>
                            <w:t xml:space="preserve">1</w:t>
                          </w:r>
                          <w:r>
                            <w:rPr>
                              <w:rFonts w:hint="eastAsia" w:ascii="宋体" w:hAnsi="宋体" w:cs="宋体"/>
                              <w:sz w:val="16"/>
                              <w:szCs w:val="20"/>
                            </w:rPr>
                            <w:fldChar w:fldCharType="end"/>
                          </w:r>
                          <w:r>
                            <w:rPr>
                              <w:rFonts w:hint="eastAsia" w:ascii="宋体" w:hAnsi="宋体" w:cs="宋体"/>
                              <w:sz w:val="16"/>
                              <w:szCs w:val="20"/>
                            </w:rPr>
                          </w:r>
                          <w:r/>
                        </w:p>
                        <w:p>
                          <w:pPr>
                            <w:pStyle w:val="835"/>
                          </w:pPr>
                          <w:r/>
                          <w:r/>
                        </w:p>
                      </w:txbxContent>
                    </wps:txbx>
                    <wps:bodyPr wrap="square" lIns="0" tIns="0" rIns="0" bIns="0" upright="1"/>
                  </wps:wsp>
                </a:graphicData>
              </a:graphic>
            </wp:anchor>
          </w:drawing>
        </mc:Choice>
        <mc:Fallback>
          <w:pict>
            <v:shape id="shape 0" o:spid="_x0000_s0" o:spt="202" type="#_x0000_t202" style="position:absolute;z-index:251658243;o:allowoverlap:true;o:allowincell:true;mso-position-horizontal-relative:margin;margin-left:194.5pt;mso-position-horizontal:absolute;mso-position-vertical-relative:text;margin-top:-4.1pt;mso-position-vertical:absolute;width:35.1pt;height:29.5pt;mso-wrap-distance-left:9.0pt;mso-wrap-distance-top:0.0pt;mso-wrap-distance-right:9.0pt;mso-wrap-distance-bottom:0.0pt;visibility:visible;" filled="f" stroked="f" strokeweight="0.50pt">
              <v:textbox inset="0,0,0,0">
                <w:txbxContent>
                  <w:p>
                    <w:pPr>
                      <w:pStyle w:val="869"/>
                      <w:jc w:val="center"/>
                      <w:tabs>
                        <w:tab w:val="clear" w:pos="7143" w:leader="none"/>
                        <w:tab w:val="clear" w:pos="14287" w:leader="none"/>
                      </w:tabs>
                      <w:rPr>
                        <w:rFonts w:hint="eastAsia" w:ascii="宋体" w:hAnsi="宋体" w:cs="宋体"/>
                        <w:sz w:val="16"/>
                        <w:szCs w:val="20"/>
                      </w:rPr>
                    </w:pPr>
                    <w:r>
                      <w:rPr>
                        <w:rFonts w:hint="eastAsia" w:ascii="宋体" w:hAnsi="宋体" w:cs="宋体"/>
                        <w:sz w:val="16"/>
                        <w:szCs w:val="20"/>
                      </w:rPr>
                      <w:fldChar w:fldCharType="begin"/>
                    </w:r>
                    <w:r>
                      <w:rPr>
                        <w:rFonts w:hint="eastAsia" w:ascii="宋体" w:hAnsi="宋体" w:cs="宋体"/>
                        <w:sz w:val="16"/>
                        <w:szCs w:val="20"/>
                      </w:rPr>
                      <w:instrText xml:space="preserve"> PAGE  \* MERGEFORMAT </w:instrText>
                    </w:r>
                    <w:r>
                      <w:rPr>
                        <w:rFonts w:hint="eastAsia" w:ascii="宋体" w:hAnsi="宋体" w:cs="宋体"/>
                        <w:sz w:val="16"/>
                        <w:szCs w:val="20"/>
                      </w:rPr>
                      <w:fldChar w:fldCharType="separate"/>
                    </w:r>
                    <w:r>
                      <w:rPr>
                        <w:rFonts w:hint="eastAsia" w:ascii="宋体" w:hAnsi="宋体" w:cs="宋体"/>
                        <w:sz w:val="16"/>
                        <w:szCs w:val="20"/>
                      </w:rPr>
                      <w:t xml:space="preserve">1</w:t>
                    </w:r>
                    <w:r>
                      <w:rPr>
                        <w:rFonts w:hint="eastAsia" w:ascii="宋体" w:hAnsi="宋体" w:cs="宋体"/>
                        <w:sz w:val="16"/>
                        <w:szCs w:val="20"/>
                      </w:rPr>
                      <w:fldChar w:fldCharType="end"/>
                    </w:r>
                    <w:r>
                      <w:rPr>
                        <w:rFonts w:hint="eastAsia" w:ascii="宋体" w:hAnsi="宋体" w:cs="宋体"/>
                        <w:sz w:val="16"/>
                        <w:szCs w:val="20"/>
                      </w:rPr>
                    </w:r>
                    <w:r/>
                  </w:p>
                  <w:p>
                    <w:pPr>
                      <w:pStyle w:val="835"/>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273050" cy="30543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273050" cy="305435"/>
                      </a:xfrm>
                      <a:prstGeom prst="rect">
                        <a:avLst/>
                      </a:prstGeom>
                      <a:noFill/>
                      <a:ln w="6350">
                        <a:noFill/>
                      </a:ln>
                    </wps:spPr>
                    <wps:txbx>
                      <w:txbxContent>
                        <w:p>
                          <w:pPr>
                            <w:pStyle w:val="869"/>
                            <w:tabs>
                              <w:tab w:val="clear" w:pos="7143" w:leader="none"/>
                              <w:tab w:val="clear" w:pos="14287" w:leader="none"/>
                            </w:tabs>
                            <w:rPr>
                              <w:rFonts w:hint="eastAsia" w:ascii="宋体" w:hAnsi="宋体" w:cs="宋体"/>
                              <w:sz w:val="16"/>
                              <w:szCs w:val="20"/>
                            </w:rPr>
                          </w:pPr>
                          <w:r>
                            <w:rPr>
                              <w:rFonts w:hint="eastAsia" w:ascii="宋体" w:hAnsi="宋体" w:cs="宋体"/>
                              <w:sz w:val="16"/>
                              <w:szCs w:val="20"/>
                            </w:rPr>
                            <w:fldChar w:fldCharType="begin"/>
                          </w:r>
                          <w:r>
                            <w:rPr>
                              <w:rFonts w:hint="eastAsia" w:ascii="宋体" w:hAnsi="宋体" w:cs="宋体"/>
                              <w:sz w:val="16"/>
                              <w:szCs w:val="20"/>
                            </w:rPr>
                            <w:instrText xml:space="preserve"> PAGE  \* MERGEFORMAT </w:instrText>
                          </w:r>
                          <w:r>
                            <w:rPr>
                              <w:rFonts w:hint="eastAsia" w:ascii="宋体" w:hAnsi="宋体" w:cs="宋体"/>
                              <w:sz w:val="16"/>
                              <w:szCs w:val="20"/>
                            </w:rPr>
                            <w:fldChar w:fldCharType="separate"/>
                          </w:r>
                          <w:r>
                            <w:rPr>
                              <w:rFonts w:hint="eastAsia" w:ascii="宋体" w:hAnsi="宋体" w:cs="宋体"/>
                              <w:sz w:val="16"/>
                              <w:szCs w:val="20"/>
                            </w:rPr>
                            <w:t xml:space="preserve">1</w:t>
                          </w:r>
                          <w:r>
                            <w:rPr>
                              <w:rFonts w:hint="eastAsia" w:ascii="宋体" w:hAnsi="宋体" w:cs="宋体"/>
                              <w:sz w:val="16"/>
                              <w:szCs w:val="20"/>
                            </w:rPr>
                            <w:fldChar w:fldCharType="end"/>
                          </w:r>
                          <w:r>
                            <w:rPr>
                              <w:rFonts w:hint="eastAsia" w:ascii="宋体" w:hAnsi="宋体" w:cs="宋体"/>
                              <w:sz w:val="16"/>
                              <w:szCs w:val="20"/>
                            </w:rPr>
                          </w:r>
                          <w:r/>
                        </w:p>
                        <w:p>
                          <w:pPr>
                            <w:pStyle w:val="835"/>
                          </w:pPr>
                          <w:r/>
                          <w:r/>
                        </w:p>
                      </w:txbxContent>
                    </wps:txbx>
                    <wps:bodyPr wrap="square" lIns="0" tIns="0" rIns="0" bIns="0" upright="1"/>
                  </wps:wsp>
                </a:graphicData>
              </a:graphic>
            </wp:anchor>
          </w:drawing>
        </mc:Choice>
        <mc:Fallback>
          <w:pict>
            <v:shape id="shape 1" o:spid="_x0000_s1" o:spt="202" type="#_x0000_t202" style="position:absolute;z-index:251658244;o:allowoverlap:true;o:allowincell:true;mso-position-horizontal-relative:margin;mso-position-horizontal:center;mso-position-vertical-relative:text;margin-top:0.0pt;mso-position-vertical:absolute;width:21.5pt;height:24.0pt;mso-wrap-distance-left:9.0pt;mso-wrap-distance-top:0.0pt;mso-wrap-distance-right:9.0pt;mso-wrap-distance-bottom:0.0pt;visibility:visible;" filled="f" stroked="f" strokeweight="0.50pt">
              <v:textbox inset="0,0,0,0">
                <w:txbxContent>
                  <w:p>
                    <w:pPr>
                      <w:pStyle w:val="869"/>
                      <w:tabs>
                        <w:tab w:val="clear" w:pos="7143" w:leader="none"/>
                        <w:tab w:val="clear" w:pos="14287" w:leader="none"/>
                      </w:tabs>
                      <w:rPr>
                        <w:rFonts w:hint="eastAsia" w:ascii="宋体" w:hAnsi="宋体" w:cs="宋体"/>
                        <w:sz w:val="16"/>
                        <w:szCs w:val="20"/>
                      </w:rPr>
                    </w:pPr>
                    <w:r>
                      <w:rPr>
                        <w:rFonts w:hint="eastAsia" w:ascii="宋体" w:hAnsi="宋体" w:cs="宋体"/>
                        <w:sz w:val="16"/>
                        <w:szCs w:val="20"/>
                      </w:rPr>
                      <w:fldChar w:fldCharType="begin"/>
                    </w:r>
                    <w:r>
                      <w:rPr>
                        <w:rFonts w:hint="eastAsia" w:ascii="宋体" w:hAnsi="宋体" w:cs="宋体"/>
                        <w:sz w:val="16"/>
                        <w:szCs w:val="20"/>
                      </w:rPr>
                      <w:instrText xml:space="preserve"> PAGE  \* MERGEFORMAT </w:instrText>
                    </w:r>
                    <w:r>
                      <w:rPr>
                        <w:rFonts w:hint="eastAsia" w:ascii="宋体" w:hAnsi="宋体" w:cs="宋体"/>
                        <w:sz w:val="16"/>
                        <w:szCs w:val="20"/>
                      </w:rPr>
                      <w:fldChar w:fldCharType="separate"/>
                    </w:r>
                    <w:r>
                      <w:rPr>
                        <w:rFonts w:hint="eastAsia" w:ascii="宋体" w:hAnsi="宋体" w:cs="宋体"/>
                        <w:sz w:val="16"/>
                        <w:szCs w:val="20"/>
                      </w:rPr>
                      <w:t xml:space="preserve">1</w:t>
                    </w:r>
                    <w:r>
                      <w:rPr>
                        <w:rFonts w:hint="eastAsia" w:ascii="宋体" w:hAnsi="宋体" w:cs="宋体"/>
                        <w:sz w:val="16"/>
                        <w:szCs w:val="20"/>
                      </w:rPr>
                      <w:fldChar w:fldCharType="end"/>
                    </w:r>
                    <w:r>
                      <w:rPr>
                        <w:rFonts w:hint="eastAsia" w:ascii="宋体" w:hAnsi="宋体" w:cs="宋体"/>
                        <w:sz w:val="16"/>
                        <w:szCs w:val="20"/>
                      </w:rPr>
                    </w:r>
                    <w:r/>
                  </w:p>
                  <w:p>
                    <w:pPr>
                      <w:pStyle w:val="83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pStyle w:val="83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pStyle w:val="83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35"/>
    <w:next w:val="835"/>
    <w:link w:val="847"/>
    <w:uiPriority w:val="9"/>
    <w:qFormat/>
    <w:pPr>
      <w:keepLines/>
      <w:keepNext/>
      <w:spacing w:before="480" w:after="200"/>
      <w:outlineLvl w:val="0"/>
    </w:pPr>
    <w:rPr>
      <w:rFonts w:ascii="Arial" w:hAnsi="Arial" w:eastAsia="Arial" w:cs="Arial"/>
      <w:sz w:val="40"/>
      <w:szCs w:val="40"/>
    </w:rPr>
  </w:style>
  <w:style w:type="paragraph" w:styleId="14">
    <w:name w:val="Heading 2"/>
    <w:basedOn w:val="835"/>
    <w:next w:val="835"/>
    <w:link w:val="848"/>
    <w:uiPriority w:val="9"/>
    <w:unhideWhenUsed/>
    <w:qFormat/>
    <w:pPr>
      <w:keepLines/>
      <w:keepNext/>
      <w:spacing w:before="360" w:after="200"/>
      <w:outlineLvl w:val="1"/>
    </w:pPr>
    <w:rPr>
      <w:rFonts w:ascii="Arial" w:hAnsi="Arial" w:eastAsia="Arial" w:cs="Arial"/>
      <w:sz w:val="34"/>
    </w:rPr>
  </w:style>
  <w:style w:type="paragraph" w:styleId="16">
    <w:name w:val="Heading 3"/>
    <w:basedOn w:val="835"/>
    <w:next w:val="835"/>
    <w:link w:val="849"/>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835"/>
    <w:next w:val="835"/>
    <w:link w:val="850"/>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835"/>
    <w:next w:val="835"/>
    <w:link w:val="851"/>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835"/>
    <w:next w:val="835"/>
    <w:link w:val="852"/>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835"/>
    <w:next w:val="835"/>
    <w:link w:val="853"/>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835"/>
    <w:next w:val="835"/>
    <w:link w:val="854"/>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835"/>
    <w:next w:val="835"/>
    <w:link w:val="855"/>
    <w:uiPriority w:val="9"/>
    <w:unhideWhenUsed/>
    <w:qFormat/>
    <w:pPr>
      <w:keepLines/>
      <w:keepNext/>
      <w:spacing w:before="320" w:after="200"/>
      <w:outlineLvl w:val="8"/>
    </w:pPr>
    <w:rPr>
      <w:rFonts w:ascii="Arial" w:hAnsi="Arial" w:eastAsia="Arial" w:cs="Arial"/>
      <w:i/>
      <w:iCs/>
      <w:sz w:val="21"/>
      <w:szCs w:val="21"/>
    </w:rPr>
  </w:style>
  <w:style w:type="paragraph" w:styleId="33">
    <w:name w:val="Title"/>
    <w:basedOn w:val="835"/>
    <w:next w:val="835"/>
    <w:link w:val="888"/>
    <w:uiPriority w:val="10"/>
    <w:qFormat/>
    <w:pPr>
      <w:contextualSpacing/>
      <w:spacing w:before="300" w:after="200"/>
    </w:pPr>
    <w:rPr>
      <w:sz w:val="48"/>
      <w:szCs w:val="48"/>
    </w:rPr>
  </w:style>
  <w:style w:type="paragraph" w:styleId="35">
    <w:name w:val="Subtitle"/>
    <w:basedOn w:val="835"/>
    <w:next w:val="835"/>
    <w:link w:val="877"/>
    <w:uiPriority w:val="11"/>
    <w:qFormat/>
    <w:pPr>
      <w:spacing w:before="200" w:after="200"/>
    </w:pPr>
    <w:rPr>
      <w:sz w:val="24"/>
      <w:szCs w:val="24"/>
    </w:rPr>
  </w:style>
  <w:style w:type="paragraph" w:styleId="41">
    <w:name w:val="Header"/>
    <w:basedOn w:val="835"/>
    <w:link w:val="872"/>
    <w:uiPriority w:val="99"/>
    <w:unhideWhenUsed/>
    <w:pPr>
      <w:spacing w:after="0" w:line="240" w:lineRule="auto"/>
      <w:tabs>
        <w:tab w:val="center" w:pos="7143" w:leader="none"/>
        <w:tab w:val="right" w:pos="14287" w:leader="none"/>
      </w:tabs>
    </w:pPr>
  </w:style>
  <w:style w:type="paragraph" w:styleId="43">
    <w:name w:val="Footer"/>
    <w:basedOn w:val="835"/>
    <w:link w:val="905"/>
    <w:uiPriority w:val="99"/>
    <w:unhideWhenUsed/>
    <w:pPr>
      <w:spacing w:after="0" w:line="240" w:lineRule="auto"/>
      <w:tabs>
        <w:tab w:val="center" w:pos="7143" w:leader="none"/>
        <w:tab w:val="right" w:pos="14287" w:leader="none"/>
      </w:tabs>
    </w:pPr>
  </w:style>
  <w:style w:type="paragraph" w:styleId="45">
    <w:name w:val="Caption"/>
    <w:basedOn w:val="835"/>
    <w:next w:val="835"/>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835"/>
    <w:link w:val="879"/>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835"/>
    <w:link w:val="868"/>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835"/>
    <w:next w:val="835"/>
    <w:uiPriority w:val="39"/>
    <w:unhideWhenUsed/>
    <w:pPr>
      <w:ind w:left="0" w:right="0" w:firstLine="0"/>
      <w:spacing w:after="57"/>
    </w:pPr>
  </w:style>
  <w:style w:type="paragraph" w:styleId="181">
    <w:name w:val="toc 2"/>
    <w:basedOn w:val="835"/>
    <w:next w:val="835"/>
    <w:uiPriority w:val="39"/>
    <w:unhideWhenUsed/>
    <w:pPr>
      <w:ind w:left="283" w:right="0" w:firstLine="0"/>
      <w:spacing w:after="57"/>
    </w:pPr>
  </w:style>
  <w:style w:type="paragraph" w:styleId="182">
    <w:name w:val="toc 3"/>
    <w:basedOn w:val="835"/>
    <w:next w:val="835"/>
    <w:uiPriority w:val="39"/>
    <w:unhideWhenUsed/>
    <w:pPr>
      <w:ind w:left="567" w:right="0" w:firstLine="0"/>
      <w:spacing w:after="57"/>
    </w:pPr>
  </w:style>
  <w:style w:type="paragraph" w:styleId="183">
    <w:name w:val="toc 4"/>
    <w:basedOn w:val="835"/>
    <w:next w:val="835"/>
    <w:uiPriority w:val="39"/>
    <w:unhideWhenUsed/>
    <w:pPr>
      <w:ind w:left="850" w:right="0" w:firstLine="0"/>
      <w:spacing w:after="57"/>
    </w:pPr>
  </w:style>
  <w:style w:type="paragraph" w:styleId="184">
    <w:name w:val="toc 5"/>
    <w:basedOn w:val="835"/>
    <w:next w:val="835"/>
    <w:uiPriority w:val="39"/>
    <w:unhideWhenUsed/>
    <w:pPr>
      <w:ind w:left="1134" w:right="0" w:firstLine="0"/>
      <w:spacing w:after="57"/>
    </w:pPr>
  </w:style>
  <w:style w:type="paragraph" w:styleId="185">
    <w:name w:val="toc 6"/>
    <w:basedOn w:val="835"/>
    <w:next w:val="835"/>
    <w:uiPriority w:val="39"/>
    <w:unhideWhenUsed/>
    <w:pPr>
      <w:ind w:left="1417" w:right="0" w:firstLine="0"/>
      <w:spacing w:after="57"/>
    </w:pPr>
  </w:style>
  <w:style w:type="paragraph" w:styleId="186">
    <w:name w:val="toc 7"/>
    <w:basedOn w:val="835"/>
    <w:next w:val="835"/>
    <w:uiPriority w:val="39"/>
    <w:unhideWhenUsed/>
    <w:pPr>
      <w:ind w:left="1701" w:right="0" w:firstLine="0"/>
      <w:spacing w:after="57"/>
    </w:pPr>
  </w:style>
  <w:style w:type="paragraph" w:styleId="187">
    <w:name w:val="toc 8"/>
    <w:basedOn w:val="835"/>
    <w:next w:val="835"/>
    <w:uiPriority w:val="39"/>
    <w:unhideWhenUsed/>
    <w:pPr>
      <w:ind w:left="1984" w:right="0" w:firstLine="0"/>
      <w:spacing w:after="57"/>
    </w:pPr>
  </w:style>
  <w:style w:type="paragraph" w:styleId="188">
    <w:name w:val="toc 9"/>
    <w:basedOn w:val="835"/>
    <w:next w:val="835"/>
    <w:uiPriority w:val="39"/>
    <w:unhideWhenUsed/>
    <w:pPr>
      <w:ind w:left="2268" w:right="0" w:firstLine="0"/>
      <w:spacing w:after="57"/>
    </w:pPr>
  </w:style>
  <w:style w:type="paragraph" w:styleId="190">
    <w:name w:val="table of figures"/>
    <w:basedOn w:val="835"/>
    <w:next w:val="835"/>
    <w:uiPriority w:val="99"/>
    <w:unhideWhenUsed/>
    <w:pPr>
      <w:spacing w:after="0" w:afterAutospacing="0"/>
    </w:pPr>
  </w:style>
  <w:style w:type="paragraph" w:styleId="835" w:default="1">
    <w:name w:val="Normal"/>
    <w:next w:val="835"/>
    <w:link w:val="835"/>
    <w:qFormat/>
    <w:pPr>
      <w:jc w:val="both"/>
      <w:widowControl w:val="off"/>
    </w:pPr>
    <w:rPr>
      <w:rFonts w:ascii="Times New Roman" w:hAnsi="Times New Roman" w:eastAsia="宋体" w:cs="Times New Roman"/>
      <w:sz w:val="21"/>
      <w:szCs w:val="24"/>
      <w:lang w:val="en-US" w:eastAsia="zh-CN" w:bidi="ar-SA"/>
    </w:rPr>
  </w:style>
  <w:style w:type="paragraph" w:styleId="836">
    <w:name w:val="标题 1"/>
    <w:basedOn w:val="835"/>
    <w:next w:val="835"/>
    <w:link w:val="847"/>
    <w:uiPriority w:val="9"/>
    <w:qFormat/>
    <w:pPr>
      <w:keepLines/>
      <w:keepNext/>
      <w:spacing w:before="480" w:after="200"/>
      <w:outlineLvl w:val="0"/>
    </w:pPr>
    <w:rPr>
      <w:rFonts w:ascii="Arial" w:hAnsi="Arial" w:eastAsia="Arial" w:cs="Arial"/>
      <w:sz w:val="40"/>
      <w:szCs w:val="40"/>
    </w:rPr>
  </w:style>
  <w:style w:type="paragraph" w:styleId="837">
    <w:name w:val="标题 2"/>
    <w:basedOn w:val="835"/>
    <w:next w:val="835"/>
    <w:link w:val="848"/>
    <w:uiPriority w:val="9"/>
    <w:unhideWhenUsed/>
    <w:qFormat/>
    <w:pPr>
      <w:keepLines/>
      <w:keepNext/>
      <w:spacing w:before="360" w:after="200"/>
      <w:outlineLvl w:val="1"/>
    </w:pPr>
    <w:rPr>
      <w:rFonts w:ascii="Arial" w:hAnsi="Arial" w:eastAsia="Arial" w:cs="Arial"/>
      <w:sz w:val="34"/>
    </w:rPr>
  </w:style>
  <w:style w:type="paragraph" w:styleId="838">
    <w:name w:val="标题 3"/>
    <w:basedOn w:val="835"/>
    <w:next w:val="835"/>
    <w:link w:val="849"/>
    <w:uiPriority w:val="9"/>
    <w:unhideWhenUsed/>
    <w:qFormat/>
    <w:pPr>
      <w:keepLines/>
      <w:keepNext/>
      <w:spacing w:before="320" w:after="200"/>
      <w:outlineLvl w:val="2"/>
    </w:pPr>
    <w:rPr>
      <w:rFonts w:ascii="Arial" w:hAnsi="Arial" w:eastAsia="Arial" w:cs="Arial"/>
      <w:sz w:val="30"/>
      <w:szCs w:val="30"/>
    </w:rPr>
  </w:style>
  <w:style w:type="paragraph" w:styleId="839">
    <w:name w:val="标题 4"/>
    <w:basedOn w:val="835"/>
    <w:next w:val="835"/>
    <w:link w:val="850"/>
    <w:uiPriority w:val="9"/>
    <w:unhideWhenUsed/>
    <w:qFormat/>
    <w:pPr>
      <w:keepLines/>
      <w:keepNext/>
      <w:spacing w:before="320" w:after="200"/>
      <w:outlineLvl w:val="3"/>
    </w:pPr>
    <w:rPr>
      <w:rFonts w:ascii="Arial" w:hAnsi="Arial" w:eastAsia="Arial" w:cs="Arial"/>
      <w:b/>
      <w:bCs/>
      <w:sz w:val="26"/>
      <w:szCs w:val="26"/>
    </w:rPr>
  </w:style>
  <w:style w:type="paragraph" w:styleId="840">
    <w:name w:val="标题 5"/>
    <w:basedOn w:val="835"/>
    <w:next w:val="835"/>
    <w:link w:val="851"/>
    <w:uiPriority w:val="9"/>
    <w:unhideWhenUsed/>
    <w:qFormat/>
    <w:pPr>
      <w:keepLines/>
      <w:keepNext/>
      <w:spacing w:before="320" w:after="200"/>
      <w:outlineLvl w:val="4"/>
    </w:pPr>
    <w:rPr>
      <w:rFonts w:ascii="Arial" w:hAnsi="Arial" w:eastAsia="Arial" w:cs="Arial"/>
      <w:b/>
      <w:bCs/>
      <w:sz w:val="24"/>
      <w:szCs w:val="24"/>
    </w:rPr>
  </w:style>
  <w:style w:type="paragraph" w:styleId="841">
    <w:name w:val="标题 6"/>
    <w:basedOn w:val="835"/>
    <w:next w:val="835"/>
    <w:link w:val="852"/>
    <w:uiPriority w:val="9"/>
    <w:unhideWhenUsed/>
    <w:qFormat/>
    <w:pPr>
      <w:keepLines/>
      <w:keepNext/>
      <w:spacing w:before="320" w:after="200"/>
      <w:outlineLvl w:val="5"/>
    </w:pPr>
    <w:rPr>
      <w:rFonts w:ascii="Arial" w:hAnsi="Arial" w:eastAsia="Arial" w:cs="Arial"/>
      <w:b/>
      <w:bCs/>
      <w:sz w:val="22"/>
      <w:szCs w:val="22"/>
    </w:rPr>
  </w:style>
  <w:style w:type="paragraph" w:styleId="842">
    <w:name w:val="标题 7"/>
    <w:basedOn w:val="835"/>
    <w:next w:val="835"/>
    <w:link w:val="853"/>
    <w:uiPriority w:val="9"/>
    <w:unhideWhenUsed/>
    <w:qFormat/>
    <w:pPr>
      <w:keepLines/>
      <w:keepNext/>
      <w:spacing w:before="320" w:after="200"/>
      <w:outlineLvl w:val="6"/>
    </w:pPr>
    <w:rPr>
      <w:rFonts w:ascii="Arial" w:hAnsi="Arial" w:eastAsia="Arial" w:cs="Arial"/>
      <w:b/>
      <w:bCs/>
      <w:i/>
      <w:iCs/>
      <w:sz w:val="22"/>
      <w:szCs w:val="22"/>
    </w:rPr>
  </w:style>
  <w:style w:type="paragraph" w:styleId="843">
    <w:name w:val="标题 8"/>
    <w:basedOn w:val="835"/>
    <w:next w:val="835"/>
    <w:link w:val="854"/>
    <w:uiPriority w:val="9"/>
    <w:unhideWhenUsed/>
    <w:qFormat/>
    <w:pPr>
      <w:keepLines/>
      <w:keepNext/>
      <w:spacing w:before="320" w:after="200"/>
      <w:outlineLvl w:val="7"/>
    </w:pPr>
    <w:rPr>
      <w:rFonts w:ascii="Arial" w:hAnsi="Arial" w:eastAsia="Arial" w:cs="Arial"/>
      <w:i/>
      <w:iCs/>
      <w:sz w:val="22"/>
      <w:szCs w:val="22"/>
    </w:rPr>
  </w:style>
  <w:style w:type="paragraph" w:styleId="844">
    <w:name w:val="标题 9"/>
    <w:basedOn w:val="835"/>
    <w:next w:val="835"/>
    <w:link w:val="855"/>
    <w:uiPriority w:val="9"/>
    <w:unhideWhenUsed/>
    <w:qFormat/>
    <w:pPr>
      <w:keepLines/>
      <w:keepNext/>
      <w:spacing w:before="320" w:after="200"/>
      <w:outlineLvl w:val="8"/>
    </w:pPr>
    <w:rPr>
      <w:rFonts w:ascii="Arial" w:hAnsi="Arial" w:eastAsia="Arial" w:cs="Arial"/>
      <w:i/>
      <w:iCs/>
      <w:sz w:val="21"/>
      <w:szCs w:val="21"/>
    </w:rPr>
  </w:style>
  <w:style w:type="character" w:styleId="845">
    <w:name w:val="默认段落字体"/>
    <w:next w:val="845"/>
    <w:link w:val="835"/>
    <w:uiPriority w:val="1"/>
    <w:unhideWhenUsed/>
    <w:qFormat/>
  </w:style>
  <w:style w:type="table" w:styleId="846">
    <w:name w:val="普通表格"/>
    <w:next w:val="846"/>
    <w:link w:val="835"/>
    <w:uiPriority w:val="99"/>
    <w:unhideWhenUsed/>
    <w:qFormat/>
    <w:tblPr/>
  </w:style>
  <w:style w:type="character" w:styleId="847">
    <w:name w:val="Heading 1 Char"/>
    <w:next w:val="847"/>
    <w:link w:val="836"/>
    <w:uiPriority w:val="9"/>
    <w:qFormat/>
    <w:rPr>
      <w:rFonts w:ascii="Arial" w:hAnsi="Arial" w:eastAsia="Arial" w:cs="Arial"/>
      <w:sz w:val="40"/>
      <w:szCs w:val="40"/>
    </w:rPr>
  </w:style>
  <w:style w:type="character" w:styleId="848">
    <w:name w:val="Heading 2 Char"/>
    <w:next w:val="848"/>
    <w:link w:val="837"/>
    <w:uiPriority w:val="9"/>
    <w:qFormat/>
    <w:rPr>
      <w:rFonts w:ascii="Arial" w:hAnsi="Arial" w:eastAsia="Arial" w:cs="Arial"/>
      <w:sz w:val="34"/>
    </w:rPr>
  </w:style>
  <w:style w:type="character" w:styleId="849">
    <w:name w:val="Heading 3 Char"/>
    <w:next w:val="849"/>
    <w:link w:val="838"/>
    <w:uiPriority w:val="9"/>
    <w:qFormat/>
    <w:rPr>
      <w:rFonts w:ascii="Arial" w:hAnsi="Arial" w:eastAsia="Arial" w:cs="Arial"/>
      <w:sz w:val="30"/>
      <w:szCs w:val="30"/>
    </w:rPr>
  </w:style>
  <w:style w:type="character" w:styleId="850">
    <w:name w:val="Heading 4 Char"/>
    <w:next w:val="850"/>
    <w:link w:val="839"/>
    <w:uiPriority w:val="9"/>
    <w:qFormat/>
    <w:rPr>
      <w:rFonts w:ascii="Arial" w:hAnsi="Arial" w:eastAsia="Arial" w:cs="Arial"/>
      <w:b/>
      <w:bCs/>
      <w:sz w:val="26"/>
      <w:szCs w:val="26"/>
    </w:rPr>
  </w:style>
  <w:style w:type="character" w:styleId="851">
    <w:name w:val="Heading 5 Char"/>
    <w:next w:val="851"/>
    <w:link w:val="840"/>
    <w:uiPriority w:val="9"/>
    <w:qFormat/>
    <w:rPr>
      <w:rFonts w:ascii="Arial" w:hAnsi="Arial" w:eastAsia="Arial" w:cs="Arial"/>
      <w:b/>
      <w:bCs/>
      <w:sz w:val="24"/>
      <w:szCs w:val="24"/>
    </w:rPr>
  </w:style>
  <w:style w:type="character" w:styleId="852">
    <w:name w:val="Heading 6 Char"/>
    <w:next w:val="852"/>
    <w:link w:val="841"/>
    <w:uiPriority w:val="9"/>
    <w:qFormat/>
    <w:rPr>
      <w:rFonts w:ascii="Arial" w:hAnsi="Arial" w:eastAsia="Arial" w:cs="Arial"/>
      <w:b/>
      <w:bCs/>
      <w:sz w:val="22"/>
      <w:szCs w:val="22"/>
    </w:rPr>
  </w:style>
  <w:style w:type="character" w:styleId="853">
    <w:name w:val="Heading 7 Char"/>
    <w:next w:val="853"/>
    <w:link w:val="842"/>
    <w:uiPriority w:val="9"/>
    <w:qFormat/>
    <w:rPr>
      <w:rFonts w:ascii="Arial" w:hAnsi="Arial" w:eastAsia="Arial" w:cs="Arial"/>
      <w:b/>
      <w:bCs/>
      <w:i/>
      <w:iCs/>
      <w:sz w:val="22"/>
      <w:szCs w:val="22"/>
    </w:rPr>
  </w:style>
  <w:style w:type="character" w:styleId="854">
    <w:name w:val="Heading 8 Char"/>
    <w:next w:val="854"/>
    <w:link w:val="843"/>
    <w:uiPriority w:val="9"/>
    <w:qFormat/>
    <w:rPr>
      <w:rFonts w:ascii="Arial" w:hAnsi="Arial" w:eastAsia="Arial" w:cs="Arial"/>
      <w:i/>
      <w:iCs/>
      <w:sz w:val="22"/>
      <w:szCs w:val="22"/>
    </w:rPr>
  </w:style>
  <w:style w:type="character" w:styleId="855">
    <w:name w:val="Heading 9 Char"/>
    <w:next w:val="855"/>
    <w:link w:val="844"/>
    <w:uiPriority w:val="9"/>
    <w:qFormat/>
    <w:rPr>
      <w:rFonts w:ascii="Arial" w:hAnsi="Arial" w:eastAsia="Arial" w:cs="Arial"/>
      <w:i/>
      <w:iCs/>
      <w:sz w:val="21"/>
      <w:szCs w:val="21"/>
    </w:rPr>
  </w:style>
  <w:style w:type="paragraph" w:styleId="856">
    <w:name w:val="目录 7"/>
    <w:basedOn w:val="835"/>
    <w:next w:val="835"/>
    <w:link w:val="835"/>
    <w:uiPriority w:val="39"/>
    <w:unhideWhenUsed/>
    <w:qFormat/>
    <w:pPr>
      <w:ind w:left="1701" w:right="0" w:firstLine="0"/>
      <w:spacing w:after="57"/>
    </w:pPr>
  </w:style>
  <w:style w:type="paragraph" w:styleId="857">
    <w:name w:val="正文缩进"/>
    <w:basedOn w:val="835"/>
    <w:next w:val="857"/>
    <w:link w:val="835"/>
    <w:qFormat/>
    <w:pPr>
      <w:ind w:firstLine="420"/>
    </w:pPr>
    <w:rPr>
      <w:szCs w:val="20"/>
    </w:rPr>
  </w:style>
  <w:style w:type="paragraph" w:styleId="858">
    <w:name w:val="题注"/>
    <w:basedOn w:val="835"/>
    <w:next w:val="835"/>
    <w:link w:val="835"/>
    <w:uiPriority w:val="35"/>
    <w:unhideWhenUsed/>
    <w:qFormat/>
    <w:pPr>
      <w:spacing w:line="276" w:lineRule="auto"/>
    </w:pPr>
    <w:rPr>
      <w:b/>
      <w:bCs/>
      <w:color w:val="4f81bd"/>
      <w:sz w:val="18"/>
      <w:szCs w:val="18"/>
    </w:rPr>
  </w:style>
  <w:style w:type="paragraph" w:styleId="859">
    <w:name w:val="批注文字"/>
    <w:basedOn w:val="835"/>
    <w:next w:val="859"/>
    <w:link w:val="835"/>
    <w:qFormat/>
    <w:pPr>
      <w:jc w:val="left"/>
    </w:pPr>
  </w:style>
  <w:style w:type="paragraph" w:styleId="860">
    <w:name w:val="正文文本"/>
    <w:basedOn w:val="835"/>
    <w:next w:val="860"/>
    <w:link w:val="835"/>
    <w:qFormat/>
    <w:rPr>
      <w:rFonts w:ascii="楷体_GB2312" w:hAnsi="Arial" w:eastAsia="楷体_GB2312"/>
      <w:sz w:val="28"/>
      <w:szCs w:val="20"/>
    </w:rPr>
  </w:style>
  <w:style w:type="paragraph" w:styleId="861">
    <w:name w:val="正文文本缩进"/>
    <w:basedOn w:val="835"/>
    <w:next w:val="835"/>
    <w:link w:val="835"/>
    <w:unhideWhenUsed/>
    <w:qFormat/>
    <w:pPr>
      <w:ind w:left="420"/>
      <w:spacing w:after="120"/>
    </w:pPr>
  </w:style>
  <w:style w:type="paragraph" w:styleId="862">
    <w:name w:val="索引 4"/>
    <w:basedOn w:val="835"/>
    <w:next w:val="835"/>
    <w:link w:val="835"/>
    <w:uiPriority w:val="99"/>
    <w:unhideWhenUsed/>
    <w:qFormat/>
    <w:pPr>
      <w:ind w:left="600"/>
    </w:pPr>
    <w:rPr>
      <w:rFonts w:ascii="Verdana" w:hAnsi="Verdana"/>
      <w:szCs w:val="20"/>
    </w:rPr>
  </w:style>
  <w:style w:type="paragraph" w:styleId="863">
    <w:name w:val="目录 5"/>
    <w:basedOn w:val="835"/>
    <w:next w:val="835"/>
    <w:link w:val="835"/>
    <w:uiPriority w:val="39"/>
    <w:unhideWhenUsed/>
    <w:qFormat/>
    <w:pPr>
      <w:ind w:left="1134" w:right="0" w:firstLine="0"/>
      <w:spacing w:after="57"/>
    </w:pPr>
  </w:style>
  <w:style w:type="paragraph" w:styleId="864">
    <w:name w:val="目录 3"/>
    <w:basedOn w:val="835"/>
    <w:next w:val="835"/>
    <w:link w:val="835"/>
    <w:uiPriority w:val="39"/>
    <w:unhideWhenUsed/>
    <w:qFormat/>
    <w:pPr>
      <w:ind w:left="567" w:right="0" w:firstLine="0"/>
      <w:spacing w:after="57"/>
    </w:pPr>
  </w:style>
  <w:style w:type="paragraph" w:styleId="865">
    <w:name w:val="纯文本"/>
    <w:basedOn w:val="835"/>
    <w:next w:val="865"/>
    <w:link w:val="835"/>
    <w:qFormat/>
    <w:rPr>
      <w:rFonts w:ascii="宋体" w:hAnsi="Courier New"/>
    </w:rPr>
  </w:style>
  <w:style w:type="paragraph" w:styleId="866">
    <w:name w:val="目录 8"/>
    <w:basedOn w:val="835"/>
    <w:next w:val="835"/>
    <w:link w:val="835"/>
    <w:uiPriority w:val="39"/>
    <w:unhideWhenUsed/>
    <w:qFormat/>
    <w:pPr>
      <w:ind w:left="1984" w:right="0" w:firstLine="0"/>
      <w:spacing w:after="57"/>
    </w:pPr>
  </w:style>
  <w:style w:type="paragraph" w:styleId="867">
    <w:name w:val="尾注文本"/>
    <w:basedOn w:val="835"/>
    <w:next w:val="867"/>
    <w:link w:val="868"/>
    <w:uiPriority w:val="99"/>
    <w:unhideWhenUsed/>
    <w:qFormat/>
    <w:pPr>
      <w:spacing w:after="0" w:line="240" w:lineRule="auto"/>
    </w:pPr>
    <w:rPr>
      <w:sz w:val="20"/>
    </w:rPr>
  </w:style>
  <w:style w:type="character" w:styleId="868">
    <w:name w:val="Endnote Text Char"/>
    <w:next w:val="868"/>
    <w:link w:val="867"/>
    <w:uiPriority w:val="99"/>
    <w:qFormat/>
    <w:rPr>
      <w:sz w:val="20"/>
    </w:rPr>
  </w:style>
  <w:style w:type="paragraph" w:styleId="869">
    <w:name w:val="页脚"/>
    <w:basedOn w:val="835"/>
    <w:next w:val="869"/>
    <w:link w:val="870"/>
    <w:uiPriority w:val="99"/>
    <w:unhideWhenUsed/>
    <w:qFormat/>
    <w:pPr>
      <w:spacing w:after="0" w:line="240" w:lineRule="auto"/>
      <w:tabs>
        <w:tab w:val="center" w:pos="7143" w:leader="none"/>
        <w:tab w:val="right" w:pos="14287" w:leader="none"/>
      </w:tabs>
    </w:pPr>
  </w:style>
  <w:style w:type="character" w:styleId="870">
    <w:name w:val="Footer Char"/>
    <w:next w:val="870"/>
    <w:link w:val="869"/>
    <w:uiPriority w:val="99"/>
    <w:qFormat/>
  </w:style>
  <w:style w:type="paragraph" w:styleId="871">
    <w:name w:val="页眉"/>
    <w:basedOn w:val="835"/>
    <w:next w:val="873"/>
    <w:link w:val="872"/>
    <w:uiPriority w:val="99"/>
    <w:unhideWhenUsed/>
    <w:qFormat/>
    <w:pPr>
      <w:spacing w:after="0" w:line="240" w:lineRule="auto"/>
      <w:tabs>
        <w:tab w:val="center" w:pos="7143" w:leader="none"/>
        <w:tab w:val="right" w:pos="14287" w:leader="none"/>
      </w:tabs>
    </w:pPr>
  </w:style>
  <w:style w:type="character" w:styleId="872">
    <w:name w:val="Header Char"/>
    <w:next w:val="872"/>
    <w:link w:val="871"/>
    <w:uiPriority w:val="99"/>
    <w:qFormat/>
  </w:style>
  <w:style w:type="paragraph" w:styleId="873">
    <w:name w:val="Quote1"/>
    <w:basedOn w:val="835"/>
    <w:next w:val="835"/>
    <w:link w:val="835"/>
    <w:uiPriority w:val="99"/>
    <w:qFormat/>
    <w:pPr>
      <w:ind w:left="864" w:right="864"/>
      <w:jc w:val="center"/>
      <w:spacing w:before="200" w:after="160"/>
      <w:widowControl/>
    </w:pPr>
    <w:rPr>
      <w:rFonts w:ascii="宋体"/>
      <w:i/>
      <w:color w:val="404040"/>
    </w:rPr>
  </w:style>
  <w:style w:type="paragraph" w:styleId="874">
    <w:name w:val="目录 1"/>
    <w:basedOn w:val="835"/>
    <w:next w:val="835"/>
    <w:link w:val="835"/>
    <w:uiPriority w:val="39"/>
    <w:unhideWhenUsed/>
    <w:qFormat/>
    <w:pPr>
      <w:ind w:left="0" w:right="0" w:firstLine="0"/>
      <w:spacing w:after="57"/>
    </w:pPr>
  </w:style>
  <w:style w:type="paragraph" w:styleId="875">
    <w:name w:val="目录 4"/>
    <w:basedOn w:val="835"/>
    <w:next w:val="835"/>
    <w:link w:val="835"/>
    <w:uiPriority w:val="39"/>
    <w:unhideWhenUsed/>
    <w:qFormat/>
    <w:pPr>
      <w:ind w:left="850" w:right="0" w:firstLine="0"/>
      <w:spacing w:after="57"/>
    </w:pPr>
  </w:style>
  <w:style w:type="paragraph" w:styleId="876">
    <w:name w:val="副标题"/>
    <w:basedOn w:val="835"/>
    <w:next w:val="835"/>
    <w:link w:val="877"/>
    <w:uiPriority w:val="11"/>
    <w:qFormat/>
    <w:pPr>
      <w:spacing w:before="200" w:after="200"/>
    </w:pPr>
    <w:rPr>
      <w:sz w:val="24"/>
      <w:szCs w:val="24"/>
    </w:rPr>
  </w:style>
  <w:style w:type="character" w:styleId="877">
    <w:name w:val="Subtitle Char"/>
    <w:next w:val="877"/>
    <w:link w:val="876"/>
    <w:uiPriority w:val="11"/>
    <w:qFormat/>
    <w:rPr>
      <w:sz w:val="24"/>
      <w:szCs w:val="24"/>
    </w:rPr>
  </w:style>
  <w:style w:type="paragraph" w:styleId="878">
    <w:name w:val="脚注文本"/>
    <w:basedOn w:val="835"/>
    <w:next w:val="878"/>
    <w:link w:val="879"/>
    <w:uiPriority w:val="99"/>
    <w:unhideWhenUsed/>
    <w:qFormat/>
    <w:pPr>
      <w:spacing w:after="40" w:line="240" w:lineRule="auto"/>
    </w:pPr>
    <w:rPr>
      <w:sz w:val="18"/>
    </w:rPr>
  </w:style>
  <w:style w:type="character" w:styleId="879">
    <w:name w:val="Footnote Text Char"/>
    <w:next w:val="879"/>
    <w:link w:val="878"/>
    <w:uiPriority w:val="99"/>
    <w:qFormat/>
    <w:rPr>
      <w:sz w:val="18"/>
    </w:rPr>
  </w:style>
  <w:style w:type="paragraph" w:styleId="880">
    <w:name w:val="目录 6"/>
    <w:basedOn w:val="835"/>
    <w:next w:val="835"/>
    <w:link w:val="835"/>
    <w:uiPriority w:val="39"/>
    <w:unhideWhenUsed/>
    <w:qFormat/>
    <w:pPr>
      <w:ind w:left="1417" w:right="0" w:firstLine="0"/>
      <w:spacing w:after="57"/>
    </w:pPr>
  </w:style>
  <w:style w:type="paragraph" w:styleId="881">
    <w:name w:val="正文文本缩进 3"/>
    <w:basedOn w:val="835"/>
    <w:next w:val="881"/>
    <w:link w:val="835"/>
    <w:qFormat/>
    <w:pPr>
      <w:ind w:firstLine="523"/>
    </w:pPr>
    <w:rPr>
      <w:rFonts w:ascii="仿宋_GB2312" w:hAnsi="宋体" w:eastAsia="仿宋_GB2312"/>
      <w:sz w:val="24"/>
    </w:rPr>
  </w:style>
  <w:style w:type="paragraph" w:styleId="882">
    <w:name w:val="图表目录"/>
    <w:basedOn w:val="835"/>
    <w:next w:val="835"/>
    <w:link w:val="835"/>
    <w:uiPriority w:val="99"/>
    <w:unhideWhenUsed/>
    <w:qFormat/>
    <w:pPr>
      <w:spacing w:after="0" w:afterAutospacing="0"/>
    </w:pPr>
  </w:style>
  <w:style w:type="paragraph" w:styleId="883">
    <w:name w:val="目录 2"/>
    <w:basedOn w:val="835"/>
    <w:next w:val="835"/>
    <w:link w:val="835"/>
    <w:uiPriority w:val="39"/>
    <w:unhideWhenUsed/>
    <w:qFormat/>
    <w:pPr>
      <w:ind w:left="283" w:right="0" w:firstLine="0"/>
      <w:spacing w:after="57"/>
    </w:pPr>
  </w:style>
  <w:style w:type="paragraph" w:styleId="884">
    <w:name w:val="目录 9"/>
    <w:basedOn w:val="835"/>
    <w:next w:val="835"/>
    <w:link w:val="835"/>
    <w:uiPriority w:val="39"/>
    <w:unhideWhenUsed/>
    <w:qFormat/>
    <w:pPr>
      <w:ind w:left="2268" w:right="0" w:firstLine="0"/>
      <w:spacing w:after="57"/>
    </w:pPr>
  </w:style>
  <w:style w:type="paragraph" w:styleId="885">
    <w:name w:val="信息标题"/>
    <w:basedOn w:val="835"/>
    <w:next w:val="885"/>
    <w:link w:val="835"/>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886">
    <w:name w:val="普通(网站)"/>
    <w:basedOn w:val="835"/>
    <w:next w:val="886"/>
    <w:link w:val="835"/>
    <w:uiPriority w:val="99"/>
    <w:unhideWhenUsed/>
    <w:qFormat/>
    <w:pPr>
      <w:jc w:val="left"/>
      <w:spacing w:before="100" w:beforeAutospacing="1" w:after="100" w:afterAutospacing="1"/>
      <w:widowControl/>
    </w:pPr>
    <w:rPr>
      <w:rFonts w:ascii="宋体" w:hAnsi="宋体" w:cs="宋体"/>
      <w:sz w:val="24"/>
    </w:rPr>
  </w:style>
  <w:style w:type="paragraph" w:styleId="887">
    <w:name w:val="标题"/>
    <w:basedOn w:val="835"/>
    <w:next w:val="835"/>
    <w:link w:val="888"/>
    <w:uiPriority w:val="10"/>
    <w:qFormat/>
    <w:pPr>
      <w:contextualSpacing/>
      <w:spacing w:before="300" w:after="200"/>
    </w:pPr>
    <w:rPr>
      <w:sz w:val="48"/>
      <w:szCs w:val="48"/>
    </w:rPr>
  </w:style>
  <w:style w:type="character" w:styleId="888">
    <w:name w:val="Title Char"/>
    <w:next w:val="888"/>
    <w:link w:val="887"/>
    <w:uiPriority w:val="10"/>
    <w:qFormat/>
    <w:rPr>
      <w:sz w:val="48"/>
      <w:szCs w:val="48"/>
    </w:rPr>
  </w:style>
  <w:style w:type="paragraph" w:styleId="889">
    <w:name w:val="正文首行缩进"/>
    <w:next w:val="889"/>
    <w:link w:val="835"/>
    <w:qFormat/>
    <w:pPr>
      <w:ind w:firstLine="200"/>
      <w:jc w:val="both"/>
      <w:spacing w:line="360" w:lineRule="auto"/>
      <w:widowControl w:val="off"/>
    </w:pPr>
    <w:rPr>
      <w:rFonts w:ascii="仿宋_GB2312" w:hAnsi="Times New Roman" w:eastAsia="仿宋_GB2312" w:cs="Times New Roman"/>
      <w:sz w:val="30"/>
      <w:szCs w:val="30"/>
    </w:rPr>
  </w:style>
  <w:style w:type="paragraph" w:styleId="890">
    <w:name w:val="正文首行缩进 2"/>
    <w:basedOn w:val="861"/>
    <w:next w:val="835"/>
    <w:link w:val="835"/>
    <w:qFormat/>
    <w:pPr>
      <w:ind w:left="0" w:firstLine="420"/>
      <w:spacing w:after="0" w:line="360" w:lineRule="auto"/>
    </w:pPr>
    <w:rPr>
      <w:rFonts w:ascii="宋体" w:hAnsi="宋体" w:eastAsia="宋体" w:cs="Times New Roman"/>
      <w:szCs w:val="20"/>
    </w:rPr>
  </w:style>
  <w:style w:type="table" w:styleId="891">
    <w:name w:val="网格型"/>
    <w:next w:val="891"/>
    <w:link w:val="835"/>
    <w:uiPriority w:val="59"/>
    <w:qFormat/>
    <w:pPr>
      <w:spacing w:after="0" w:line="240" w:lineRule="auto"/>
    </w:pPr>
    <w:tblPr/>
  </w:style>
  <w:style w:type="character" w:styleId="892">
    <w:name w:val="尾注引用"/>
    <w:next w:val="892"/>
    <w:link w:val="835"/>
    <w:uiPriority w:val="99"/>
    <w:unhideWhenUsed/>
    <w:qFormat/>
    <w:rPr>
      <w:vertAlign w:val="superscript"/>
    </w:rPr>
  </w:style>
  <w:style w:type="character" w:styleId="893">
    <w:name w:val="页码"/>
    <w:basedOn w:val="845"/>
    <w:next w:val="893"/>
    <w:link w:val="835"/>
    <w:qFormat/>
  </w:style>
  <w:style w:type="character" w:styleId="894">
    <w:name w:val="已访问的超链接"/>
    <w:basedOn w:val="845"/>
    <w:next w:val="894"/>
    <w:link w:val="835"/>
    <w:uiPriority w:val="99"/>
    <w:unhideWhenUsed/>
    <w:rPr>
      <w:color w:val="800080"/>
      <w:u w:val="none"/>
    </w:rPr>
  </w:style>
  <w:style w:type="character" w:styleId="895">
    <w:name w:val="HTML 定义"/>
    <w:basedOn w:val="845"/>
    <w:next w:val="895"/>
    <w:link w:val="835"/>
    <w:uiPriority w:val="99"/>
    <w:unhideWhenUsed/>
    <w:rPr>
      <w:b w:val="0"/>
      <w:bCs w:val="0"/>
      <w:i w:val="0"/>
      <w:iCs w:val="0"/>
    </w:rPr>
  </w:style>
  <w:style w:type="character" w:styleId="896">
    <w:name w:val="HTML 打字机"/>
    <w:basedOn w:val="845"/>
    <w:next w:val="896"/>
    <w:link w:val="835"/>
    <w:uiPriority w:val="99"/>
    <w:unhideWhenUsed/>
    <w:rPr>
      <w:rFonts w:ascii="monospace" w:hAnsi="monospace" w:eastAsia="monospace" w:cs="monospace"/>
      <w:sz w:val="20"/>
    </w:rPr>
  </w:style>
  <w:style w:type="character" w:styleId="897">
    <w:name w:val="HTML 缩写"/>
    <w:basedOn w:val="845"/>
    <w:next w:val="897"/>
    <w:link w:val="835"/>
    <w:uiPriority w:val="99"/>
    <w:unhideWhenUsed/>
  </w:style>
  <w:style w:type="character" w:styleId="898">
    <w:name w:val="HTML 变量"/>
    <w:basedOn w:val="845"/>
    <w:next w:val="898"/>
    <w:link w:val="835"/>
    <w:uiPriority w:val="99"/>
    <w:unhideWhenUsed/>
    <w:rPr>
      <w:b w:val="0"/>
      <w:bCs w:val="0"/>
      <w:i w:val="0"/>
      <w:iCs w:val="0"/>
    </w:rPr>
  </w:style>
  <w:style w:type="character" w:styleId="899">
    <w:name w:val="超链接"/>
    <w:basedOn w:val="845"/>
    <w:next w:val="899"/>
    <w:link w:val="835"/>
    <w:uiPriority w:val="99"/>
    <w:unhideWhenUsed/>
    <w:qFormat/>
    <w:rPr>
      <w:color w:val="0000ff"/>
      <w:u w:val="none"/>
    </w:rPr>
  </w:style>
  <w:style w:type="character" w:styleId="900">
    <w:name w:val="HTML 代码"/>
    <w:basedOn w:val="845"/>
    <w:next w:val="900"/>
    <w:link w:val="835"/>
    <w:uiPriority w:val="99"/>
    <w:unhideWhenUsed/>
    <w:rPr>
      <w:rFonts w:ascii="monospace" w:hAnsi="monospace" w:eastAsia="monospace" w:cs="monospace"/>
      <w:b w:val="0"/>
      <w:bCs w:val="0"/>
      <w:i w:val="0"/>
      <w:iCs w:val="0"/>
      <w:sz w:val="20"/>
    </w:rPr>
  </w:style>
  <w:style w:type="character" w:styleId="901">
    <w:name w:val="HTML 引文"/>
    <w:basedOn w:val="845"/>
    <w:next w:val="901"/>
    <w:link w:val="835"/>
    <w:uiPriority w:val="99"/>
    <w:unhideWhenUsed/>
    <w:rPr>
      <w:b w:val="0"/>
      <w:bCs w:val="0"/>
      <w:i w:val="0"/>
      <w:iCs w:val="0"/>
    </w:rPr>
  </w:style>
  <w:style w:type="character" w:styleId="902">
    <w:name w:val="脚注引用"/>
    <w:next w:val="902"/>
    <w:link w:val="835"/>
    <w:uiPriority w:val="99"/>
    <w:unhideWhenUsed/>
    <w:qFormat/>
    <w:rPr>
      <w:vertAlign w:val="superscript"/>
    </w:rPr>
  </w:style>
  <w:style w:type="character" w:styleId="903">
    <w:name w:val="HTML 键盘"/>
    <w:basedOn w:val="845"/>
    <w:next w:val="903"/>
    <w:link w:val="835"/>
    <w:uiPriority w:val="99"/>
    <w:unhideWhenUsed/>
    <w:rPr>
      <w:rFonts w:ascii="monospace" w:hAnsi="monospace" w:eastAsia="monospace" w:cs="monospace"/>
      <w:sz w:val="20"/>
    </w:rPr>
  </w:style>
  <w:style w:type="character" w:styleId="904">
    <w:name w:val="HTML 样本"/>
    <w:basedOn w:val="845"/>
    <w:next w:val="904"/>
    <w:link w:val="835"/>
    <w:uiPriority w:val="99"/>
    <w:unhideWhenUsed/>
    <w:rPr>
      <w:rFonts w:ascii="monospace" w:hAnsi="monospace" w:eastAsia="monospace" w:cs="monospace"/>
    </w:rPr>
  </w:style>
  <w:style w:type="character" w:styleId="905">
    <w:name w:val="Caption Char"/>
    <w:next w:val="905"/>
    <w:link w:val="869"/>
    <w:uiPriority w:val="99"/>
    <w:qFormat/>
  </w:style>
  <w:style w:type="paragraph" w:styleId="906">
    <w:name w:val="正文1"/>
    <w:basedOn w:val="907"/>
    <w:next w:val="835"/>
    <w:link w:val="835"/>
    <w:qFormat/>
    <w:pPr>
      <w:ind w:firstLine="200"/>
      <w:spacing w:before="120" w:after="120" w:line="180" w:lineRule="auto"/>
    </w:pPr>
    <w:rPr>
      <w:rFonts w:eastAsia="Adobe 仿宋 Std R"/>
      <w:sz w:val="21"/>
      <w:szCs w:val="21"/>
      <w:lang w:val="en-US" w:eastAsia="zh-CN" w:bidi="ar-SA"/>
    </w:rPr>
  </w:style>
  <w:style w:type="paragraph" w:styleId="907">
    <w:name w:val="正文缩进1"/>
    <w:basedOn w:val="835"/>
    <w:next w:val="907"/>
    <w:link w:val="835"/>
    <w:qFormat/>
    <w:pPr>
      <w:ind w:firstLine="420"/>
      <w:spacing w:line="360" w:lineRule="atLeast"/>
    </w:pPr>
    <w:rPr>
      <w:szCs w:val="20"/>
    </w:rPr>
  </w:style>
  <w:style w:type="paragraph" w:styleId="908">
    <w:name w:val="段"/>
    <w:next w:val="835"/>
    <w:link w:val="835"/>
    <w:qFormat/>
    <w:pPr>
      <w:ind w:firstLine="200"/>
      <w:jc w:val="both"/>
      <w:spacing w:line="360" w:lineRule="auto"/>
    </w:pPr>
    <w:rPr>
      <w:rFonts w:ascii="宋体" w:hAnsi="Calibri" w:eastAsia="宋体" w:cs="Times New Roman"/>
      <w:sz w:val="24"/>
      <w:szCs w:val="22"/>
      <w:lang w:val="en-US" w:eastAsia="zh-CN" w:bidi="ar-SA"/>
    </w:rPr>
  </w:style>
  <w:style w:type="paragraph" w:styleId="909">
    <w:name w:val="xl51"/>
    <w:next w:val="880"/>
    <w:link w:val="835"/>
    <w:qFormat/>
    <w:pPr>
      <w:jc w:val="center"/>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cs="Times New Roman"/>
      <w:sz w:val="24"/>
      <w:szCs w:val="20"/>
      <w:lang w:val="en-US" w:eastAsia="zh-CN" w:bidi="ar-SA"/>
    </w:rPr>
  </w:style>
  <w:style w:type="character" w:styleId="910">
    <w:name w:val="要点1"/>
    <w:basedOn w:val="911"/>
    <w:next w:val="910"/>
    <w:link w:val="835"/>
    <w:qFormat/>
    <w:rPr>
      <w:rFonts w:ascii="Times New Roman" w:hAnsi="Times New Roman" w:eastAsia="宋体" w:cs="Times New Roman"/>
      <w:sz w:val="21"/>
      <w:szCs w:val="24"/>
      <w:lang w:val="en-US" w:eastAsia="zh-CN" w:bidi="ar-SA"/>
    </w:rPr>
  </w:style>
  <w:style w:type="character" w:styleId="911">
    <w:name w:val="默认段落字体1"/>
    <w:next w:val="911"/>
    <w:link w:val="835"/>
    <w:semiHidden/>
    <w:qFormat/>
  </w:style>
  <w:style w:type="paragraph" w:styleId="912">
    <w:name w:val="xl58"/>
    <w:basedOn w:val="835"/>
    <w:next w:val="912"/>
    <w:link w:val="83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913">
    <w:name w:val="Default"/>
    <w:next w:val="913"/>
    <w:link w:val="835"/>
    <w:qFormat/>
    <w:pPr>
      <w:widowControl w:val="off"/>
    </w:pPr>
    <w:rPr>
      <w:rFonts w:ascii="宋体" w:hAnsi="Times New Roman" w:eastAsia="宋体" w:cs="宋体"/>
      <w:color w:val="000000"/>
      <w:sz w:val="24"/>
      <w:szCs w:val="24"/>
      <w:lang w:val="en-US" w:eastAsia="zh-CN" w:bidi="ar-SA"/>
    </w:rPr>
  </w:style>
  <w:style w:type="paragraph" w:styleId="914">
    <w:name w:val="List Paragraph"/>
    <w:basedOn w:val="835"/>
    <w:next w:val="914"/>
    <w:link w:val="835"/>
    <w:uiPriority w:val="34"/>
    <w:qFormat/>
    <w:pPr>
      <w:contextualSpacing/>
      <w:ind w:left="720"/>
    </w:pPr>
  </w:style>
  <w:style w:type="paragraph" w:styleId="915">
    <w:name w:val="No Spacing"/>
    <w:next w:val="915"/>
    <w:link w:val="835"/>
    <w:uiPriority w:val="1"/>
    <w:qFormat/>
    <w:pPr>
      <w:spacing w:before="0" w:after="0" w:line="240" w:lineRule="auto"/>
    </w:pPr>
    <w:rPr>
      <w:rFonts w:ascii="Times New Roman" w:hAnsi="Times New Roman" w:eastAsia="宋体" w:cs="Times New Roman"/>
    </w:rPr>
  </w:style>
  <w:style w:type="paragraph" w:styleId="916">
    <w:name w:val="Quote"/>
    <w:basedOn w:val="835"/>
    <w:next w:val="835"/>
    <w:link w:val="917"/>
    <w:uiPriority w:val="29"/>
    <w:qFormat/>
    <w:pPr>
      <w:ind w:left="720" w:right="720"/>
    </w:pPr>
    <w:rPr>
      <w:i/>
    </w:rPr>
  </w:style>
  <w:style w:type="character" w:styleId="917">
    <w:name w:val="Quote Char"/>
    <w:next w:val="917"/>
    <w:link w:val="916"/>
    <w:uiPriority w:val="29"/>
    <w:qFormat/>
    <w:rPr>
      <w:i/>
    </w:rPr>
  </w:style>
  <w:style w:type="paragraph" w:styleId="918">
    <w:name w:val="Intense Quote"/>
    <w:basedOn w:val="835"/>
    <w:next w:val="835"/>
    <w:link w:val="91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9">
    <w:name w:val="Intense Quote Char"/>
    <w:next w:val="919"/>
    <w:link w:val="918"/>
    <w:uiPriority w:val="30"/>
    <w:qFormat/>
    <w:rPr>
      <w:i/>
    </w:rPr>
  </w:style>
  <w:style w:type="table" w:styleId="920">
    <w:name w:val="Table Grid Light"/>
    <w:next w:val="920"/>
    <w:link w:val="835"/>
    <w:uiPriority w:val="59"/>
    <w:qFormat/>
    <w:pPr>
      <w:spacing w:after="0" w:line="240" w:lineRule="auto"/>
    </w:pPr>
    <w:tblPr/>
  </w:style>
  <w:style w:type="table" w:styleId="921">
    <w:name w:val="Plain Table 1"/>
    <w:next w:val="921"/>
    <w:link w:val="835"/>
    <w:uiPriority w:val="59"/>
    <w:qFormat/>
    <w:pPr>
      <w:spacing w:after="0" w:line="240" w:lineRule="auto"/>
    </w:pPr>
    <w:tblPr/>
  </w:style>
  <w:style w:type="table" w:styleId="922">
    <w:name w:val="Plain Table 2"/>
    <w:next w:val="922"/>
    <w:link w:val="835"/>
    <w:uiPriority w:val="59"/>
    <w:qFormat/>
    <w:pPr>
      <w:spacing w:after="0" w:line="240" w:lineRule="auto"/>
    </w:pPr>
    <w:tblPr/>
  </w:style>
  <w:style w:type="table" w:styleId="923">
    <w:name w:val="Plain Table 3"/>
    <w:next w:val="923"/>
    <w:link w:val="835"/>
    <w:uiPriority w:val="99"/>
    <w:qFormat/>
    <w:pPr>
      <w:spacing w:after="0" w:line="240" w:lineRule="auto"/>
    </w:pPr>
    <w:tblPr/>
  </w:style>
  <w:style w:type="table" w:styleId="924">
    <w:name w:val="Plain Table 4"/>
    <w:next w:val="924"/>
    <w:link w:val="835"/>
    <w:uiPriority w:val="99"/>
    <w:qFormat/>
    <w:pPr>
      <w:spacing w:after="0" w:line="240" w:lineRule="auto"/>
    </w:pPr>
    <w:tblPr/>
  </w:style>
  <w:style w:type="table" w:styleId="925">
    <w:name w:val="Plain Table 5"/>
    <w:next w:val="925"/>
    <w:link w:val="835"/>
    <w:uiPriority w:val="99"/>
    <w:qFormat/>
    <w:pPr>
      <w:spacing w:after="0" w:line="240" w:lineRule="auto"/>
    </w:pPr>
    <w:tblPr/>
  </w:style>
  <w:style w:type="table" w:styleId="926">
    <w:name w:val="Grid Table 1 Light"/>
    <w:next w:val="926"/>
    <w:link w:val="835"/>
    <w:uiPriority w:val="99"/>
    <w:qFormat/>
    <w:pPr>
      <w:spacing w:after="0" w:line="240" w:lineRule="auto"/>
    </w:pPr>
    <w:tblPr/>
  </w:style>
  <w:style w:type="table" w:styleId="927">
    <w:name w:val="Grid Table 1 Light - Accent 1"/>
    <w:next w:val="927"/>
    <w:link w:val="835"/>
    <w:uiPriority w:val="99"/>
    <w:qFormat/>
    <w:pPr>
      <w:spacing w:after="0" w:line="240" w:lineRule="auto"/>
    </w:pPr>
    <w:tblPr/>
  </w:style>
  <w:style w:type="table" w:styleId="928">
    <w:name w:val="Grid Table 1 Light - Accent 2"/>
    <w:next w:val="928"/>
    <w:link w:val="835"/>
    <w:uiPriority w:val="99"/>
    <w:qFormat/>
    <w:pPr>
      <w:spacing w:after="0" w:line="240" w:lineRule="auto"/>
    </w:pPr>
    <w:tblPr/>
  </w:style>
  <w:style w:type="table" w:styleId="929">
    <w:name w:val="Grid Table 1 Light - Accent 3"/>
    <w:next w:val="929"/>
    <w:link w:val="835"/>
    <w:uiPriority w:val="99"/>
    <w:qFormat/>
    <w:pPr>
      <w:spacing w:after="0" w:line="240" w:lineRule="auto"/>
    </w:pPr>
    <w:tblPr/>
  </w:style>
  <w:style w:type="table" w:styleId="930">
    <w:name w:val="Grid Table 1 Light - Accent 4"/>
    <w:next w:val="930"/>
    <w:link w:val="835"/>
    <w:uiPriority w:val="99"/>
    <w:qFormat/>
    <w:pPr>
      <w:spacing w:after="0" w:line="240" w:lineRule="auto"/>
    </w:pPr>
    <w:tblPr/>
  </w:style>
  <w:style w:type="table" w:styleId="931">
    <w:name w:val="Grid Table 1 Light - Accent 5"/>
    <w:next w:val="931"/>
    <w:link w:val="835"/>
    <w:uiPriority w:val="99"/>
    <w:qFormat/>
    <w:pPr>
      <w:spacing w:after="0" w:line="240" w:lineRule="auto"/>
    </w:pPr>
    <w:tblPr/>
  </w:style>
  <w:style w:type="table" w:styleId="932">
    <w:name w:val="Grid Table 1 Light - Accent 6"/>
    <w:next w:val="932"/>
    <w:link w:val="835"/>
    <w:uiPriority w:val="99"/>
    <w:qFormat/>
    <w:pPr>
      <w:spacing w:after="0" w:line="240" w:lineRule="auto"/>
    </w:pPr>
    <w:tblPr/>
  </w:style>
  <w:style w:type="table" w:styleId="933">
    <w:name w:val="Grid Table 2"/>
    <w:next w:val="933"/>
    <w:link w:val="835"/>
    <w:uiPriority w:val="99"/>
    <w:qFormat/>
    <w:pPr>
      <w:spacing w:after="0" w:line="240" w:lineRule="auto"/>
    </w:pPr>
    <w:tblPr/>
  </w:style>
  <w:style w:type="table" w:styleId="934">
    <w:name w:val="Grid Table 2 - Accent 1"/>
    <w:next w:val="934"/>
    <w:link w:val="835"/>
    <w:uiPriority w:val="99"/>
    <w:qFormat/>
    <w:pPr>
      <w:spacing w:after="0" w:line="240" w:lineRule="auto"/>
    </w:pPr>
    <w:tblPr/>
  </w:style>
  <w:style w:type="table" w:styleId="935">
    <w:name w:val="Grid Table 2 - Accent 2"/>
    <w:next w:val="935"/>
    <w:link w:val="835"/>
    <w:uiPriority w:val="99"/>
    <w:qFormat/>
    <w:pPr>
      <w:spacing w:after="0" w:line="240" w:lineRule="auto"/>
    </w:pPr>
    <w:tblPr/>
  </w:style>
  <w:style w:type="table" w:styleId="936">
    <w:name w:val="Grid Table 2 - Accent 3"/>
    <w:next w:val="936"/>
    <w:link w:val="835"/>
    <w:uiPriority w:val="99"/>
    <w:qFormat/>
    <w:pPr>
      <w:spacing w:after="0" w:line="240" w:lineRule="auto"/>
    </w:pPr>
    <w:tblPr/>
  </w:style>
  <w:style w:type="table" w:styleId="937">
    <w:name w:val="Grid Table 2 - Accent 4"/>
    <w:next w:val="937"/>
    <w:link w:val="835"/>
    <w:uiPriority w:val="99"/>
    <w:qFormat/>
    <w:pPr>
      <w:spacing w:after="0" w:line="240" w:lineRule="auto"/>
    </w:pPr>
    <w:tblPr/>
  </w:style>
  <w:style w:type="table" w:styleId="938">
    <w:name w:val="Grid Table 2 - Accent 5"/>
    <w:next w:val="938"/>
    <w:link w:val="835"/>
    <w:uiPriority w:val="99"/>
    <w:qFormat/>
    <w:pPr>
      <w:spacing w:after="0" w:line="240" w:lineRule="auto"/>
    </w:pPr>
    <w:tblPr/>
  </w:style>
  <w:style w:type="table" w:styleId="939">
    <w:name w:val="Grid Table 2 - Accent 6"/>
    <w:next w:val="939"/>
    <w:link w:val="835"/>
    <w:uiPriority w:val="99"/>
    <w:qFormat/>
    <w:pPr>
      <w:spacing w:after="0" w:line="240" w:lineRule="auto"/>
    </w:pPr>
    <w:tblPr/>
  </w:style>
  <w:style w:type="table" w:styleId="940">
    <w:name w:val="Grid Table 3"/>
    <w:next w:val="940"/>
    <w:link w:val="835"/>
    <w:uiPriority w:val="99"/>
    <w:qFormat/>
    <w:pPr>
      <w:spacing w:after="0" w:line="240" w:lineRule="auto"/>
    </w:pPr>
    <w:tblPr/>
  </w:style>
  <w:style w:type="table" w:styleId="941">
    <w:name w:val="Grid Table 3 - Accent 1"/>
    <w:next w:val="941"/>
    <w:link w:val="835"/>
    <w:uiPriority w:val="99"/>
    <w:qFormat/>
    <w:pPr>
      <w:spacing w:after="0" w:line="240" w:lineRule="auto"/>
    </w:pPr>
    <w:tblPr/>
  </w:style>
  <w:style w:type="table" w:styleId="942">
    <w:name w:val="Grid Table 3 - Accent 2"/>
    <w:next w:val="942"/>
    <w:link w:val="835"/>
    <w:uiPriority w:val="99"/>
    <w:qFormat/>
    <w:pPr>
      <w:spacing w:after="0" w:line="240" w:lineRule="auto"/>
    </w:pPr>
    <w:tblPr/>
  </w:style>
  <w:style w:type="table" w:styleId="943">
    <w:name w:val="Grid Table 3 - Accent 3"/>
    <w:next w:val="943"/>
    <w:link w:val="835"/>
    <w:uiPriority w:val="99"/>
    <w:qFormat/>
    <w:pPr>
      <w:spacing w:after="0" w:line="240" w:lineRule="auto"/>
    </w:pPr>
    <w:tblPr/>
  </w:style>
  <w:style w:type="table" w:styleId="944">
    <w:name w:val="Grid Table 3 - Accent 4"/>
    <w:next w:val="944"/>
    <w:link w:val="835"/>
    <w:uiPriority w:val="99"/>
    <w:qFormat/>
    <w:pPr>
      <w:spacing w:after="0" w:line="240" w:lineRule="auto"/>
    </w:pPr>
    <w:tblPr/>
  </w:style>
  <w:style w:type="table" w:styleId="945">
    <w:name w:val="Grid Table 3 - Accent 5"/>
    <w:next w:val="945"/>
    <w:link w:val="835"/>
    <w:uiPriority w:val="99"/>
    <w:qFormat/>
    <w:pPr>
      <w:spacing w:after="0" w:line="240" w:lineRule="auto"/>
    </w:pPr>
    <w:tblPr/>
  </w:style>
  <w:style w:type="table" w:styleId="946">
    <w:name w:val="Grid Table 3 - Accent 6"/>
    <w:next w:val="946"/>
    <w:link w:val="835"/>
    <w:uiPriority w:val="99"/>
    <w:qFormat/>
    <w:pPr>
      <w:spacing w:after="0" w:line="240" w:lineRule="auto"/>
    </w:pPr>
    <w:tblPr/>
  </w:style>
  <w:style w:type="table" w:styleId="947">
    <w:name w:val="Grid Table 4"/>
    <w:next w:val="947"/>
    <w:link w:val="835"/>
    <w:uiPriority w:val="59"/>
    <w:qFormat/>
    <w:pPr>
      <w:spacing w:after="0" w:line="240" w:lineRule="auto"/>
    </w:pPr>
    <w:tblPr/>
  </w:style>
  <w:style w:type="table" w:styleId="948">
    <w:name w:val="Grid Table 4 - Accent 1"/>
    <w:next w:val="948"/>
    <w:link w:val="835"/>
    <w:uiPriority w:val="59"/>
    <w:qFormat/>
    <w:pPr>
      <w:spacing w:after="0" w:line="240" w:lineRule="auto"/>
    </w:pPr>
    <w:tblPr/>
  </w:style>
  <w:style w:type="table" w:styleId="949">
    <w:name w:val="Grid Table 4 - Accent 2"/>
    <w:next w:val="949"/>
    <w:link w:val="835"/>
    <w:uiPriority w:val="59"/>
    <w:qFormat/>
    <w:pPr>
      <w:spacing w:after="0" w:line="240" w:lineRule="auto"/>
    </w:pPr>
    <w:tblPr/>
  </w:style>
  <w:style w:type="table" w:styleId="950">
    <w:name w:val="Grid Table 4 - Accent 3"/>
    <w:next w:val="950"/>
    <w:link w:val="835"/>
    <w:uiPriority w:val="59"/>
    <w:qFormat/>
    <w:pPr>
      <w:spacing w:after="0" w:line="240" w:lineRule="auto"/>
    </w:pPr>
    <w:tblPr/>
  </w:style>
  <w:style w:type="table" w:styleId="951">
    <w:name w:val="Grid Table 4 - Accent 4"/>
    <w:next w:val="951"/>
    <w:link w:val="835"/>
    <w:uiPriority w:val="59"/>
    <w:qFormat/>
    <w:pPr>
      <w:spacing w:after="0" w:line="240" w:lineRule="auto"/>
    </w:pPr>
    <w:tblPr/>
  </w:style>
  <w:style w:type="table" w:styleId="952">
    <w:name w:val="Grid Table 4 - Accent 5"/>
    <w:next w:val="952"/>
    <w:link w:val="835"/>
    <w:uiPriority w:val="59"/>
    <w:qFormat/>
    <w:pPr>
      <w:spacing w:after="0" w:line="240" w:lineRule="auto"/>
    </w:pPr>
    <w:tblPr/>
  </w:style>
  <w:style w:type="table" w:styleId="953">
    <w:name w:val="Grid Table 4 - Accent 6"/>
    <w:next w:val="953"/>
    <w:link w:val="835"/>
    <w:uiPriority w:val="59"/>
    <w:qFormat/>
    <w:pPr>
      <w:spacing w:after="0" w:line="240" w:lineRule="auto"/>
    </w:pPr>
    <w:tblPr/>
  </w:style>
  <w:style w:type="table" w:styleId="954">
    <w:name w:val="Grid Table 5 Dark"/>
    <w:next w:val="954"/>
    <w:link w:val="835"/>
    <w:uiPriority w:val="99"/>
    <w:qFormat/>
    <w:pPr>
      <w:spacing w:after="0" w:line="240" w:lineRule="auto"/>
    </w:pPr>
    <w:tblPr/>
  </w:style>
  <w:style w:type="table" w:styleId="955">
    <w:name w:val="Grid Table 5 Dark- Accent 1"/>
    <w:next w:val="955"/>
    <w:link w:val="835"/>
    <w:uiPriority w:val="99"/>
    <w:qFormat/>
    <w:pPr>
      <w:spacing w:after="0" w:line="240" w:lineRule="auto"/>
    </w:pPr>
    <w:tblPr/>
  </w:style>
  <w:style w:type="table" w:styleId="956">
    <w:name w:val="Grid Table 5 Dark - Accent 2"/>
    <w:next w:val="956"/>
    <w:link w:val="835"/>
    <w:uiPriority w:val="99"/>
    <w:qFormat/>
    <w:pPr>
      <w:spacing w:after="0" w:line="240" w:lineRule="auto"/>
    </w:pPr>
    <w:tblPr/>
  </w:style>
  <w:style w:type="table" w:styleId="957">
    <w:name w:val="Grid Table 5 Dark - Accent 3"/>
    <w:next w:val="957"/>
    <w:link w:val="835"/>
    <w:uiPriority w:val="99"/>
    <w:qFormat/>
    <w:pPr>
      <w:spacing w:after="0" w:line="240" w:lineRule="auto"/>
    </w:pPr>
    <w:tblPr/>
  </w:style>
  <w:style w:type="table" w:styleId="958">
    <w:name w:val="Grid Table 5 Dark- Accent 4"/>
    <w:next w:val="958"/>
    <w:link w:val="835"/>
    <w:uiPriority w:val="99"/>
    <w:qFormat/>
    <w:pPr>
      <w:spacing w:after="0" w:line="240" w:lineRule="auto"/>
    </w:pPr>
    <w:tblPr/>
  </w:style>
  <w:style w:type="table" w:styleId="959">
    <w:name w:val="Grid Table 5 Dark - Accent 5"/>
    <w:next w:val="959"/>
    <w:link w:val="835"/>
    <w:uiPriority w:val="99"/>
    <w:qFormat/>
    <w:pPr>
      <w:spacing w:after="0" w:line="240" w:lineRule="auto"/>
    </w:pPr>
    <w:tblPr/>
  </w:style>
  <w:style w:type="table" w:styleId="960">
    <w:name w:val="Grid Table 5 Dark - Accent 6"/>
    <w:next w:val="960"/>
    <w:link w:val="835"/>
    <w:uiPriority w:val="99"/>
    <w:qFormat/>
    <w:pPr>
      <w:spacing w:after="0" w:line="240" w:lineRule="auto"/>
    </w:pPr>
    <w:tblPr/>
  </w:style>
  <w:style w:type="table" w:styleId="961">
    <w:name w:val="Grid Table 6 Colorful"/>
    <w:next w:val="961"/>
    <w:link w:val="835"/>
    <w:uiPriority w:val="99"/>
    <w:qFormat/>
    <w:pPr>
      <w:spacing w:after="0" w:line="240" w:lineRule="auto"/>
    </w:pPr>
    <w:tblPr/>
  </w:style>
  <w:style w:type="table" w:styleId="962">
    <w:name w:val="Grid Table 6 Colorful - Accent 1"/>
    <w:next w:val="962"/>
    <w:link w:val="835"/>
    <w:uiPriority w:val="99"/>
    <w:qFormat/>
    <w:pPr>
      <w:spacing w:after="0" w:line="240" w:lineRule="auto"/>
    </w:pPr>
    <w:tblPr/>
  </w:style>
  <w:style w:type="table" w:styleId="963">
    <w:name w:val="Grid Table 6 Colorful - Accent 2"/>
    <w:next w:val="963"/>
    <w:link w:val="835"/>
    <w:uiPriority w:val="99"/>
    <w:qFormat/>
    <w:pPr>
      <w:spacing w:after="0" w:line="240" w:lineRule="auto"/>
    </w:pPr>
    <w:tblPr/>
  </w:style>
  <w:style w:type="table" w:styleId="964">
    <w:name w:val="Grid Table 6 Colorful - Accent 3"/>
    <w:next w:val="964"/>
    <w:link w:val="835"/>
    <w:uiPriority w:val="99"/>
    <w:qFormat/>
    <w:pPr>
      <w:spacing w:after="0" w:line="240" w:lineRule="auto"/>
    </w:pPr>
    <w:tblPr/>
  </w:style>
  <w:style w:type="table" w:styleId="965">
    <w:name w:val="Grid Table 6 Colorful - Accent 4"/>
    <w:next w:val="965"/>
    <w:link w:val="835"/>
    <w:uiPriority w:val="99"/>
    <w:qFormat/>
    <w:pPr>
      <w:spacing w:after="0" w:line="240" w:lineRule="auto"/>
    </w:pPr>
    <w:tblPr/>
  </w:style>
  <w:style w:type="table" w:styleId="966">
    <w:name w:val="Grid Table 6 Colorful - Accent 5"/>
    <w:next w:val="966"/>
    <w:link w:val="835"/>
    <w:uiPriority w:val="99"/>
    <w:qFormat/>
    <w:pPr>
      <w:spacing w:after="0" w:line="240" w:lineRule="auto"/>
    </w:pPr>
    <w:tblPr/>
  </w:style>
  <w:style w:type="table" w:styleId="967">
    <w:name w:val="Grid Table 6 Colorful - Accent 6"/>
    <w:next w:val="967"/>
    <w:link w:val="835"/>
    <w:uiPriority w:val="99"/>
    <w:qFormat/>
    <w:pPr>
      <w:spacing w:after="0" w:line="240" w:lineRule="auto"/>
    </w:pPr>
    <w:tblPr/>
  </w:style>
  <w:style w:type="table" w:styleId="968">
    <w:name w:val="Grid Table 7 Colorful"/>
    <w:next w:val="968"/>
    <w:link w:val="835"/>
    <w:uiPriority w:val="99"/>
    <w:qFormat/>
    <w:pPr>
      <w:spacing w:after="0" w:line="240" w:lineRule="auto"/>
    </w:pPr>
    <w:tblPr/>
  </w:style>
  <w:style w:type="table" w:styleId="969">
    <w:name w:val="Grid Table 7 Colorful - Accent 1"/>
    <w:next w:val="969"/>
    <w:link w:val="835"/>
    <w:uiPriority w:val="99"/>
    <w:qFormat/>
    <w:pPr>
      <w:spacing w:after="0" w:line="240" w:lineRule="auto"/>
    </w:pPr>
    <w:tblPr/>
  </w:style>
  <w:style w:type="table" w:styleId="970">
    <w:name w:val="Grid Table 7 Colorful - Accent 2"/>
    <w:next w:val="970"/>
    <w:link w:val="835"/>
    <w:uiPriority w:val="99"/>
    <w:qFormat/>
    <w:pPr>
      <w:spacing w:after="0" w:line="240" w:lineRule="auto"/>
    </w:pPr>
    <w:tblPr/>
  </w:style>
  <w:style w:type="table" w:styleId="971">
    <w:name w:val="Grid Table 7 Colorful - Accent 3"/>
    <w:next w:val="971"/>
    <w:link w:val="835"/>
    <w:uiPriority w:val="99"/>
    <w:qFormat/>
    <w:pPr>
      <w:spacing w:after="0" w:line="240" w:lineRule="auto"/>
    </w:pPr>
    <w:tblPr/>
  </w:style>
  <w:style w:type="table" w:styleId="972">
    <w:name w:val="Grid Table 7 Colorful - Accent 4"/>
    <w:next w:val="972"/>
    <w:link w:val="835"/>
    <w:uiPriority w:val="99"/>
    <w:qFormat/>
    <w:pPr>
      <w:spacing w:after="0" w:line="240" w:lineRule="auto"/>
    </w:pPr>
    <w:tblPr/>
  </w:style>
  <w:style w:type="table" w:styleId="973">
    <w:name w:val="Grid Table 7 Colorful - Accent 5"/>
    <w:next w:val="973"/>
    <w:link w:val="835"/>
    <w:uiPriority w:val="99"/>
    <w:qFormat/>
    <w:pPr>
      <w:spacing w:after="0" w:line="240" w:lineRule="auto"/>
    </w:pPr>
    <w:tblPr/>
  </w:style>
  <w:style w:type="table" w:styleId="974">
    <w:name w:val="Grid Table 7 Colorful - Accent 6"/>
    <w:next w:val="974"/>
    <w:link w:val="835"/>
    <w:uiPriority w:val="99"/>
    <w:qFormat/>
    <w:pPr>
      <w:spacing w:after="0" w:line="240" w:lineRule="auto"/>
    </w:pPr>
    <w:tblPr/>
  </w:style>
  <w:style w:type="table" w:styleId="975">
    <w:name w:val="List Table 1 Light"/>
    <w:next w:val="975"/>
    <w:link w:val="835"/>
    <w:uiPriority w:val="99"/>
    <w:qFormat/>
    <w:pPr>
      <w:spacing w:after="0" w:line="240" w:lineRule="auto"/>
    </w:pPr>
    <w:tblPr/>
  </w:style>
  <w:style w:type="table" w:styleId="976">
    <w:name w:val="List Table 1 Light - Accent 1"/>
    <w:next w:val="976"/>
    <w:link w:val="835"/>
    <w:uiPriority w:val="99"/>
    <w:qFormat/>
    <w:pPr>
      <w:spacing w:after="0" w:line="240" w:lineRule="auto"/>
    </w:pPr>
    <w:tblPr/>
  </w:style>
  <w:style w:type="table" w:styleId="977">
    <w:name w:val="List Table 1 Light - Accent 2"/>
    <w:next w:val="977"/>
    <w:link w:val="835"/>
    <w:uiPriority w:val="99"/>
    <w:qFormat/>
    <w:pPr>
      <w:spacing w:after="0" w:line="240" w:lineRule="auto"/>
    </w:pPr>
    <w:tblPr/>
  </w:style>
  <w:style w:type="table" w:styleId="978">
    <w:name w:val="List Table 1 Light - Accent 3"/>
    <w:next w:val="978"/>
    <w:link w:val="835"/>
    <w:uiPriority w:val="99"/>
    <w:qFormat/>
    <w:pPr>
      <w:spacing w:after="0" w:line="240" w:lineRule="auto"/>
    </w:pPr>
    <w:tblPr/>
  </w:style>
  <w:style w:type="table" w:styleId="979">
    <w:name w:val="List Table 1 Light - Accent 4"/>
    <w:next w:val="979"/>
    <w:link w:val="835"/>
    <w:uiPriority w:val="99"/>
    <w:qFormat/>
    <w:pPr>
      <w:spacing w:after="0" w:line="240" w:lineRule="auto"/>
    </w:pPr>
    <w:tblPr/>
  </w:style>
  <w:style w:type="table" w:styleId="980">
    <w:name w:val="List Table 1 Light - Accent 5"/>
    <w:next w:val="980"/>
    <w:link w:val="835"/>
    <w:uiPriority w:val="99"/>
    <w:qFormat/>
    <w:pPr>
      <w:spacing w:after="0" w:line="240" w:lineRule="auto"/>
    </w:pPr>
    <w:tblPr/>
  </w:style>
  <w:style w:type="table" w:styleId="981">
    <w:name w:val="List Table 1 Light - Accent 6"/>
    <w:next w:val="981"/>
    <w:link w:val="835"/>
    <w:uiPriority w:val="99"/>
    <w:qFormat/>
    <w:pPr>
      <w:spacing w:after="0" w:line="240" w:lineRule="auto"/>
    </w:pPr>
    <w:tblPr/>
  </w:style>
  <w:style w:type="table" w:styleId="982">
    <w:name w:val="List Table 2"/>
    <w:next w:val="982"/>
    <w:link w:val="835"/>
    <w:uiPriority w:val="99"/>
    <w:qFormat/>
    <w:pPr>
      <w:spacing w:after="0" w:line="240" w:lineRule="auto"/>
    </w:pPr>
    <w:tblPr/>
  </w:style>
  <w:style w:type="table" w:styleId="983">
    <w:name w:val="List Table 2 - Accent 1"/>
    <w:next w:val="983"/>
    <w:link w:val="835"/>
    <w:uiPriority w:val="99"/>
    <w:qFormat/>
    <w:pPr>
      <w:spacing w:after="0" w:line="240" w:lineRule="auto"/>
    </w:pPr>
    <w:tblPr/>
  </w:style>
  <w:style w:type="table" w:styleId="984">
    <w:name w:val="List Table 2 - Accent 2"/>
    <w:next w:val="984"/>
    <w:link w:val="835"/>
    <w:uiPriority w:val="99"/>
    <w:qFormat/>
    <w:pPr>
      <w:spacing w:after="0" w:line="240" w:lineRule="auto"/>
    </w:pPr>
    <w:tblPr/>
  </w:style>
  <w:style w:type="table" w:styleId="985">
    <w:name w:val="List Table 2 - Accent 3"/>
    <w:next w:val="985"/>
    <w:link w:val="835"/>
    <w:uiPriority w:val="99"/>
    <w:qFormat/>
    <w:pPr>
      <w:spacing w:after="0" w:line="240" w:lineRule="auto"/>
    </w:pPr>
    <w:tblPr/>
  </w:style>
  <w:style w:type="table" w:styleId="986">
    <w:name w:val="List Table 2 - Accent 4"/>
    <w:next w:val="986"/>
    <w:link w:val="835"/>
    <w:uiPriority w:val="99"/>
    <w:qFormat/>
    <w:pPr>
      <w:spacing w:after="0" w:line="240" w:lineRule="auto"/>
    </w:pPr>
    <w:tblPr/>
  </w:style>
  <w:style w:type="table" w:styleId="987">
    <w:name w:val="List Table 2 - Accent 5"/>
    <w:next w:val="987"/>
    <w:link w:val="835"/>
    <w:uiPriority w:val="99"/>
    <w:qFormat/>
    <w:pPr>
      <w:spacing w:after="0" w:line="240" w:lineRule="auto"/>
    </w:pPr>
    <w:tblPr/>
  </w:style>
  <w:style w:type="table" w:styleId="988">
    <w:name w:val="List Table 2 - Accent 6"/>
    <w:next w:val="988"/>
    <w:link w:val="835"/>
    <w:uiPriority w:val="99"/>
    <w:qFormat/>
    <w:pPr>
      <w:spacing w:after="0" w:line="240" w:lineRule="auto"/>
    </w:pPr>
    <w:tblPr/>
  </w:style>
  <w:style w:type="table" w:styleId="989">
    <w:name w:val="List Table 3"/>
    <w:next w:val="989"/>
    <w:link w:val="835"/>
    <w:uiPriority w:val="99"/>
    <w:qFormat/>
    <w:pPr>
      <w:spacing w:after="0" w:line="240" w:lineRule="auto"/>
    </w:pPr>
    <w:tblPr/>
  </w:style>
  <w:style w:type="table" w:styleId="990">
    <w:name w:val="List Table 3 - Accent 1"/>
    <w:next w:val="990"/>
    <w:link w:val="835"/>
    <w:uiPriority w:val="99"/>
    <w:qFormat/>
    <w:pPr>
      <w:spacing w:after="0" w:line="240" w:lineRule="auto"/>
    </w:pPr>
    <w:tblPr/>
  </w:style>
  <w:style w:type="table" w:styleId="991">
    <w:name w:val="List Table 3 - Accent 2"/>
    <w:next w:val="991"/>
    <w:link w:val="835"/>
    <w:uiPriority w:val="99"/>
    <w:qFormat/>
    <w:pPr>
      <w:spacing w:after="0" w:line="240" w:lineRule="auto"/>
    </w:pPr>
    <w:tblPr/>
  </w:style>
  <w:style w:type="table" w:styleId="992">
    <w:name w:val="List Table 3 - Accent 3"/>
    <w:next w:val="992"/>
    <w:link w:val="835"/>
    <w:uiPriority w:val="99"/>
    <w:qFormat/>
    <w:pPr>
      <w:spacing w:after="0" w:line="240" w:lineRule="auto"/>
    </w:pPr>
    <w:tblPr/>
  </w:style>
  <w:style w:type="table" w:styleId="993">
    <w:name w:val="List Table 3 - Accent 4"/>
    <w:next w:val="993"/>
    <w:link w:val="835"/>
    <w:uiPriority w:val="99"/>
    <w:qFormat/>
    <w:pPr>
      <w:spacing w:after="0" w:line="240" w:lineRule="auto"/>
    </w:pPr>
    <w:tblPr/>
  </w:style>
  <w:style w:type="table" w:styleId="994">
    <w:name w:val="List Table 3 - Accent 5"/>
    <w:next w:val="994"/>
    <w:link w:val="835"/>
    <w:uiPriority w:val="99"/>
    <w:qFormat/>
    <w:pPr>
      <w:spacing w:after="0" w:line="240" w:lineRule="auto"/>
    </w:pPr>
    <w:tblPr/>
  </w:style>
  <w:style w:type="table" w:styleId="995">
    <w:name w:val="List Table 3 - Accent 6"/>
    <w:next w:val="995"/>
    <w:link w:val="835"/>
    <w:uiPriority w:val="99"/>
    <w:qFormat/>
    <w:pPr>
      <w:spacing w:after="0" w:line="240" w:lineRule="auto"/>
    </w:pPr>
    <w:tblPr/>
  </w:style>
  <w:style w:type="table" w:styleId="996">
    <w:name w:val="List Table 4"/>
    <w:next w:val="996"/>
    <w:link w:val="835"/>
    <w:uiPriority w:val="99"/>
    <w:qFormat/>
    <w:pPr>
      <w:spacing w:after="0" w:line="240" w:lineRule="auto"/>
    </w:pPr>
    <w:tblPr/>
  </w:style>
  <w:style w:type="table" w:styleId="997">
    <w:name w:val="List Table 4 - Accent 1"/>
    <w:next w:val="997"/>
    <w:link w:val="835"/>
    <w:uiPriority w:val="99"/>
    <w:qFormat/>
    <w:pPr>
      <w:spacing w:after="0" w:line="240" w:lineRule="auto"/>
    </w:pPr>
    <w:tblPr/>
  </w:style>
  <w:style w:type="table" w:styleId="998">
    <w:name w:val="List Table 4 - Accent 2"/>
    <w:next w:val="998"/>
    <w:link w:val="835"/>
    <w:uiPriority w:val="99"/>
    <w:qFormat/>
    <w:pPr>
      <w:spacing w:after="0" w:line="240" w:lineRule="auto"/>
    </w:pPr>
    <w:tblPr/>
  </w:style>
  <w:style w:type="table" w:styleId="999">
    <w:name w:val="List Table 4 - Accent 3"/>
    <w:next w:val="999"/>
    <w:link w:val="835"/>
    <w:uiPriority w:val="99"/>
    <w:qFormat/>
    <w:pPr>
      <w:spacing w:after="0" w:line="240" w:lineRule="auto"/>
    </w:pPr>
    <w:tblPr/>
  </w:style>
  <w:style w:type="table" w:styleId="1000">
    <w:name w:val="List Table 4 - Accent 4"/>
    <w:next w:val="1000"/>
    <w:link w:val="835"/>
    <w:uiPriority w:val="99"/>
    <w:qFormat/>
    <w:pPr>
      <w:spacing w:after="0" w:line="240" w:lineRule="auto"/>
    </w:pPr>
    <w:tblPr/>
  </w:style>
  <w:style w:type="table" w:styleId="1001">
    <w:name w:val="List Table 4 - Accent 5"/>
    <w:next w:val="1001"/>
    <w:link w:val="835"/>
    <w:uiPriority w:val="99"/>
    <w:qFormat/>
    <w:pPr>
      <w:spacing w:after="0" w:line="240" w:lineRule="auto"/>
    </w:pPr>
    <w:tblPr/>
  </w:style>
  <w:style w:type="table" w:styleId="1002">
    <w:name w:val="List Table 4 - Accent 6"/>
    <w:next w:val="1002"/>
    <w:link w:val="835"/>
    <w:uiPriority w:val="99"/>
    <w:qFormat/>
    <w:pPr>
      <w:spacing w:after="0" w:line="240" w:lineRule="auto"/>
    </w:pPr>
    <w:tblPr/>
  </w:style>
  <w:style w:type="table" w:styleId="1003">
    <w:name w:val="List Table 5 Dark"/>
    <w:next w:val="1003"/>
    <w:link w:val="835"/>
    <w:uiPriority w:val="99"/>
    <w:qFormat/>
    <w:pPr>
      <w:spacing w:after="0" w:line="240" w:lineRule="auto"/>
    </w:pPr>
    <w:tblPr/>
  </w:style>
  <w:style w:type="table" w:styleId="1004">
    <w:name w:val="List Table 5 Dark - Accent 1"/>
    <w:next w:val="1004"/>
    <w:link w:val="835"/>
    <w:uiPriority w:val="99"/>
    <w:qFormat/>
    <w:pPr>
      <w:spacing w:after="0" w:line="240" w:lineRule="auto"/>
    </w:pPr>
    <w:tblPr/>
  </w:style>
  <w:style w:type="table" w:styleId="1005">
    <w:name w:val="List Table 5 Dark - Accent 2"/>
    <w:next w:val="1005"/>
    <w:link w:val="835"/>
    <w:uiPriority w:val="99"/>
    <w:qFormat/>
    <w:pPr>
      <w:spacing w:after="0" w:line="240" w:lineRule="auto"/>
    </w:pPr>
    <w:tblPr/>
  </w:style>
  <w:style w:type="table" w:styleId="1006">
    <w:name w:val="List Table 5 Dark - Accent 3"/>
    <w:next w:val="1006"/>
    <w:link w:val="835"/>
    <w:uiPriority w:val="99"/>
    <w:qFormat/>
    <w:pPr>
      <w:spacing w:after="0" w:line="240" w:lineRule="auto"/>
    </w:pPr>
    <w:tblPr/>
  </w:style>
  <w:style w:type="table" w:styleId="1007">
    <w:name w:val="List Table 5 Dark - Accent 4"/>
    <w:next w:val="1007"/>
    <w:link w:val="835"/>
    <w:uiPriority w:val="99"/>
    <w:qFormat/>
    <w:pPr>
      <w:spacing w:after="0" w:line="240" w:lineRule="auto"/>
    </w:pPr>
    <w:tblPr/>
  </w:style>
  <w:style w:type="table" w:styleId="1008">
    <w:name w:val="List Table 5 Dark - Accent 5"/>
    <w:next w:val="1008"/>
    <w:link w:val="835"/>
    <w:uiPriority w:val="99"/>
    <w:qFormat/>
    <w:pPr>
      <w:spacing w:after="0" w:line="240" w:lineRule="auto"/>
    </w:pPr>
    <w:tblPr/>
  </w:style>
  <w:style w:type="table" w:styleId="1009">
    <w:name w:val="List Table 5 Dark - Accent 6"/>
    <w:next w:val="1009"/>
    <w:link w:val="835"/>
    <w:uiPriority w:val="99"/>
    <w:qFormat/>
    <w:pPr>
      <w:spacing w:after="0" w:line="240" w:lineRule="auto"/>
    </w:pPr>
    <w:tblPr/>
  </w:style>
  <w:style w:type="table" w:styleId="1010">
    <w:name w:val="List Table 6 Colorful"/>
    <w:next w:val="1010"/>
    <w:link w:val="835"/>
    <w:uiPriority w:val="99"/>
    <w:qFormat/>
    <w:pPr>
      <w:spacing w:after="0" w:line="240" w:lineRule="auto"/>
    </w:pPr>
    <w:tblPr/>
  </w:style>
  <w:style w:type="table" w:styleId="1011">
    <w:name w:val="List Table 6 Colorful - Accent 1"/>
    <w:next w:val="1011"/>
    <w:link w:val="835"/>
    <w:uiPriority w:val="99"/>
    <w:qFormat/>
    <w:pPr>
      <w:spacing w:after="0" w:line="240" w:lineRule="auto"/>
    </w:pPr>
    <w:tblPr/>
  </w:style>
  <w:style w:type="table" w:styleId="1012">
    <w:name w:val="List Table 6 Colorful - Accent 2"/>
    <w:next w:val="1012"/>
    <w:link w:val="835"/>
    <w:uiPriority w:val="99"/>
    <w:qFormat/>
    <w:pPr>
      <w:spacing w:after="0" w:line="240" w:lineRule="auto"/>
    </w:pPr>
    <w:tblPr/>
  </w:style>
  <w:style w:type="table" w:styleId="1013">
    <w:name w:val="List Table 6 Colorful - Accent 3"/>
    <w:next w:val="1013"/>
    <w:link w:val="835"/>
    <w:uiPriority w:val="99"/>
    <w:qFormat/>
    <w:pPr>
      <w:spacing w:after="0" w:line="240" w:lineRule="auto"/>
    </w:pPr>
    <w:tblPr/>
  </w:style>
  <w:style w:type="table" w:styleId="1014">
    <w:name w:val="List Table 6 Colorful - Accent 4"/>
    <w:next w:val="1014"/>
    <w:link w:val="835"/>
    <w:uiPriority w:val="99"/>
    <w:qFormat/>
    <w:pPr>
      <w:spacing w:after="0" w:line="240" w:lineRule="auto"/>
    </w:pPr>
    <w:tblPr/>
  </w:style>
  <w:style w:type="table" w:styleId="1015">
    <w:name w:val="List Table 6 Colorful - Accent 5"/>
    <w:next w:val="1015"/>
    <w:link w:val="835"/>
    <w:uiPriority w:val="99"/>
    <w:qFormat/>
    <w:pPr>
      <w:spacing w:after="0" w:line="240" w:lineRule="auto"/>
    </w:pPr>
    <w:tblPr/>
  </w:style>
  <w:style w:type="table" w:styleId="1016">
    <w:name w:val="List Table 6 Colorful - Accent 6"/>
    <w:next w:val="1016"/>
    <w:link w:val="835"/>
    <w:uiPriority w:val="99"/>
    <w:qFormat/>
    <w:pPr>
      <w:spacing w:after="0" w:line="240" w:lineRule="auto"/>
    </w:pPr>
    <w:tblPr/>
  </w:style>
  <w:style w:type="table" w:styleId="1017">
    <w:name w:val="List Table 7 Colorful"/>
    <w:next w:val="1017"/>
    <w:link w:val="835"/>
    <w:uiPriority w:val="99"/>
    <w:qFormat/>
    <w:pPr>
      <w:spacing w:after="0" w:line="240" w:lineRule="auto"/>
    </w:pPr>
    <w:tblPr/>
  </w:style>
  <w:style w:type="table" w:styleId="1018">
    <w:name w:val="List Table 7 Colorful - Accent 1"/>
    <w:next w:val="1018"/>
    <w:link w:val="835"/>
    <w:uiPriority w:val="99"/>
    <w:qFormat/>
    <w:pPr>
      <w:spacing w:after="0" w:line="240" w:lineRule="auto"/>
    </w:pPr>
    <w:tblPr/>
  </w:style>
  <w:style w:type="table" w:styleId="1019">
    <w:name w:val="List Table 7 Colorful - Accent 2"/>
    <w:next w:val="1019"/>
    <w:link w:val="835"/>
    <w:uiPriority w:val="99"/>
    <w:qFormat/>
    <w:pPr>
      <w:spacing w:after="0" w:line="240" w:lineRule="auto"/>
    </w:pPr>
    <w:tblPr/>
  </w:style>
  <w:style w:type="table" w:styleId="1020">
    <w:name w:val="List Table 7 Colorful - Accent 3"/>
    <w:next w:val="1020"/>
    <w:link w:val="835"/>
    <w:uiPriority w:val="99"/>
    <w:qFormat/>
    <w:pPr>
      <w:spacing w:after="0" w:line="240" w:lineRule="auto"/>
    </w:pPr>
    <w:tblPr/>
  </w:style>
  <w:style w:type="table" w:styleId="1021">
    <w:name w:val="List Table 7 Colorful - Accent 4"/>
    <w:next w:val="1021"/>
    <w:link w:val="835"/>
    <w:uiPriority w:val="99"/>
    <w:qFormat/>
    <w:pPr>
      <w:spacing w:after="0" w:line="240" w:lineRule="auto"/>
    </w:pPr>
    <w:tblPr/>
  </w:style>
  <w:style w:type="table" w:styleId="1022">
    <w:name w:val="List Table 7 Colorful - Accent 5"/>
    <w:next w:val="1022"/>
    <w:link w:val="835"/>
    <w:uiPriority w:val="99"/>
    <w:qFormat/>
    <w:pPr>
      <w:spacing w:after="0" w:line="240" w:lineRule="auto"/>
    </w:pPr>
    <w:tblPr/>
  </w:style>
  <w:style w:type="table" w:styleId="1023">
    <w:name w:val="List Table 7 Colorful - Accent 6"/>
    <w:next w:val="1023"/>
    <w:link w:val="835"/>
    <w:uiPriority w:val="99"/>
    <w:qFormat/>
    <w:pPr>
      <w:spacing w:after="0" w:line="240" w:lineRule="auto"/>
    </w:pPr>
    <w:tblPr/>
  </w:style>
  <w:style w:type="table" w:styleId="1024">
    <w:name w:val="Lined - Accent"/>
    <w:next w:val="1024"/>
    <w:link w:val="835"/>
    <w:uiPriority w:val="99"/>
    <w:qFormat/>
    <w:pPr>
      <w:spacing w:after="0" w:line="240" w:lineRule="auto"/>
    </w:pPr>
    <w:rPr>
      <w:color w:val="404040"/>
    </w:rPr>
    <w:tblPr/>
  </w:style>
  <w:style w:type="table" w:styleId="1025">
    <w:name w:val="Lined - Accent 1"/>
    <w:next w:val="1025"/>
    <w:link w:val="835"/>
    <w:uiPriority w:val="99"/>
    <w:qFormat/>
    <w:pPr>
      <w:spacing w:after="0" w:line="240" w:lineRule="auto"/>
    </w:pPr>
    <w:rPr>
      <w:color w:val="404040"/>
    </w:rPr>
    <w:tblPr/>
  </w:style>
  <w:style w:type="table" w:styleId="1026">
    <w:name w:val="Lined - Accent 2"/>
    <w:next w:val="1026"/>
    <w:link w:val="835"/>
    <w:uiPriority w:val="99"/>
    <w:qFormat/>
    <w:pPr>
      <w:spacing w:after="0" w:line="240" w:lineRule="auto"/>
    </w:pPr>
    <w:rPr>
      <w:color w:val="404040"/>
    </w:rPr>
    <w:tblPr/>
  </w:style>
  <w:style w:type="table" w:styleId="1027">
    <w:name w:val="Lined - Accent 3"/>
    <w:next w:val="1027"/>
    <w:link w:val="835"/>
    <w:uiPriority w:val="99"/>
    <w:qFormat/>
    <w:pPr>
      <w:spacing w:after="0" w:line="240" w:lineRule="auto"/>
    </w:pPr>
    <w:rPr>
      <w:color w:val="404040"/>
    </w:rPr>
    <w:tblPr/>
  </w:style>
  <w:style w:type="table" w:styleId="1028">
    <w:name w:val="Lined - Accent 4"/>
    <w:next w:val="1028"/>
    <w:link w:val="835"/>
    <w:uiPriority w:val="99"/>
    <w:qFormat/>
    <w:pPr>
      <w:spacing w:after="0" w:line="240" w:lineRule="auto"/>
    </w:pPr>
    <w:rPr>
      <w:color w:val="404040"/>
    </w:rPr>
    <w:tblPr/>
  </w:style>
  <w:style w:type="table" w:styleId="1029">
    <w:name w:val="Lined - Accent 5"/>
    <w:next w:val="1029"/>
    <w:link w:val="835"/>
    <w:uiPriority w:val="99"/>
    <w:qFormat/>
    <w:pPr>
      <w:spacing w:after="0" w:line="240" w:lineRule="auto"/>
    </w:pPr>
    <w:rPr>
      <w:color w:val="404040"/>
    </w:rPr>
    <w:tblPr/>
  </w:style>
  <w:style w:type="table" w:styleId="1030">
    <w:name w:val="Lined - Accent 6"/>
    <w:next w:val="1030"/>
    <w:link w:val="835"/>
    <w:uiPriority w:val="99"/>
    <w:qFormat/>
    <w:pPr>
      <w:spacing w:after="0" w:line="240" w:lineRule="auto"/>
    </w:pPr>
    <w:rPr>
      <w:color w:val="404040"/>
    </w:rPr>
    <w:tblPr/>
  </w:style>
  <w:style w:type="table" w:styleId="1031">
    <w:name w:val="Bordered &amp; Lined - Accent"/>
    <w:next w:val="1031"/>
    <w:link w:val="835"/>
    <w:uiPriority w:val="99"/>
    <w:qFormat/>
    <w:pPr>
      <w:spacing w:after="0" w:line="240" w:lineRule="auto"/>
    </w:pPr>
    <w:rPr>
      <w:color w:val="404040"/>
    </w:rPr>
    <w:tblPr/>
  </w:style>
  <w:style w:type="table" w:styleId="1032">
    <w:name w:val="Bordered &amp; Lined - Accent 1"/>
    <w:next w:val="1032"/>
    <w:link w:val="835"/>
    <w:uiPriority w:val="99"/>
    <w:qFormat/>
    <w:pPr>
      <w:spacing w:after="0" w:line="240" w:lineRule="auto"/>
    </w:pPr>
    <w:rPr>
      <w:color w:val="404040"/>
    </w:rPr>
    <w:tblPr/>
  </w:style>
  <w:style w:type="table" w:styleId="1033">
    <w:name w:val="Bordered &amp; Lined - Accent 2"/>
    <w:next w:val="1033"/>
    <w:link w:val="835"/>
    <w:uiPriority w:val="99"/>
    <w:qFormat/>
    <w:pPr>
      <w:spacing w:after="0" w:line="240" w:lineRule="auto"/>
    </w:pPr>
    <w:rPr>
      <w:color w:val="404040"/>
    </w:rPr>
    <w:tblPr/>
  </w:style>
  <w:style w:type="table" w:styleId="1034">
    <w:name w:val="Bordered &amp; Lined - Accent 3"/>
    <w:next w:val="1034"/>
    <w:link w:val="835"/>
    <w:uiPriority w:val="99"/>
    <w:qFormat/>
    <w:pPr>
      <w:spacing w:after="0" w:line="240" w:lineRule="auto"/>
    </w:pPr>
    <w:rPr>
      <w:color w:val="404040"/>
    </w:rPr>
    <w:tblPr/>
  </w:style>
  <w:style w:type="table" w:styleId="1035">
    <w:name w:val="Bordered &amp; Lined - Accent 4"/>
    <w:next w:val="1035"/>
    <w:link w:val="835"/>
    <w:uiPriority w:val="99"/>
    <w:qFormat/>
    <w:pPr>
      <w:spacing w:after="0" w:line="240" w:lineRule="auto"/>
    </w:pPr>
    <w:rPr>
      <w:color w:val="404040"/>
    </w:rPr>
    <w:tblPr/>
  </w:style>
  <w:style w:type="table" w:styleId="1036">
    <w:name w:val="Bordered &amp; Lined - Accent 5"/>
    <w:next w:val="1036"/>
    <w:link w:val="835"/>
    <w:uiPriority w:val="99"/>
    <w:qFormat/>
    <w:pPr>
      <w:spacing w:after="0" w:line="240" w:lineRule="auto"/>
    </w:pPr>
    <w:rPr>
      <w:color w:val="404040"/>
    </w:rPr>
    <w:tblPr/>
  </w:style>
  <w:style w:type="table" w:styleId="1037">
    <w:name w:val="Bordered &amp; Lined - Accent 6"/>
    <w:next w:val="1037"/>
    <w:link w:val="835"/>
    <w:uiPriority w:val="99"/>
    <w:qFormat/>
    <w:pPr>
      <w:spacing w:after="0" w:line="240" w:lineRule="auto"/>
    </w:pPr>
    <w:rPr>
      <w:color w:val="404040"/>
    </w:rPr>
    <w:tblPr/>
  </w:style>
  <w:style w:type="table" w:styleId="1038">
    <w:name w:val="Bordered"/>
    <w:next w:val="1038"/>
    <w:link w:val="835"/>
    <w:uiPriority w:val="99"/>
    <w:qFormat/>
    <w:pPr>
      <w:spacing w:after="0" w:line="240" w:lineRule="auto"/>
    </w:pPr>
    <w:tblPr/>
  </w:style>
  <w:style w:type="table" w:styleId="1039">
    <w:name w:val="Bordered - Accent 1"/>
    <w:next w:val="1039"/>
    <w:link w:val="835"/>
    <w:uiPriority w:val="99"/>
    <w:qFormat/>
    <w:pPr>
      <w:spacing w:after="0" w:line="240" w:lineRule="auto"/>
    </w:pPr>
    <w:tblPr/>
  </w:style>
  <w:style w:type="table" w:styleId="1040">
    <w:name w:val="Bordered - Accent 2"/>
    <w:next w:val="1040"/>
    <w:link w:val="835"/>
    <w:uiPriority w:val="99"/>
    <w:qFormat/>
    <w:pPr>
      <w:spacing w:after="0" w:line="240" w:lineRule="auto"/>
    </w:pPr>
    <w:tblPr/>
  </w:style>
  <w:style w:type="table" w:styleId="1041">
    <w:name w:val="Bordered - Accent 3"/>
    <w:next w:val="1041"/>
    <w:link w:val="835"/>
    <w:uiPriority w:val="99"/>
    <w:qFormat/>
    <w:pPr>
      <w:spacing w:after="0" w:line="240" w:lineRule="auto"/>
    </w:pPr>
    <w:tblPr/>
  </w:style>
  <w:style w:type="table" w:styleId="1042">
    <w:name w:val="Bordered - Accent 4"/>
    <w:next w:val="1042"/>
    <w:link w:val="835"/>
    <w:uiPriority w:val="99"/>
    <w:qFormat/>
    <w:pPr>
      <w:spacing w:after="0" w:line="240" w:lineRule="auto"/>
    </w:pPr>
    <w:tblPr/>
  </w:style>
  <w:style w:type="table" w:styleId="1043">
    <w:name w:val="Bordered - Accent 5"/>
    <w:next w:val="1043"/>
    <w:link w:val="835"/>
    <w:uiPriority w:val="99"/>
    <w:qFormat/>
    <w:pPr>
      <w:spacing w:after="0" w:line="240" w:lineRule="auto"/>
    </w:pPr>
    <w:tblPr/>
  </w:style>
  <w:style w:type="table" w:styleId="1044">
    <w:name w:val="Bordered - Accent 6"/>
    <w:next w:val="1044"/>
    <w:link w:val="835"/>
    <w:uiPriority w:val="99"/>
    <w:qFormat/>
    <w:pPr>
      <w:spacing w:after="0" w:line="240" w:lineRule="auto"/>
    </w:pPr>
    <w:tblPr/>
  </w:style>
  <w:style w:type="paragraph" w:styleId="1045">
    <w:name w:val="TOC Heading"/>
    <w:next w:val="1045"/>
    <w:link w:val="835"/>
    <w:uiPriority w:val="39"/>
    <w:unhideWhenUsed/>
    <w:qFormat/>
    <w:rPr>
      <w:rFonts w:ascii="Times New Roman" w:hAnsi="Times New Roman" w:eastAsia="宋体" w:cs="Times New Roman"/>
    </w:rPr>
  </w:style>
  <w:style w:type="character" w:styleId="1046">
    <w:name w:val="默认段落字体11"/>
    <w:next w:val="1046"/>
    <w:link w:val="835"/>
    <w:semiHidden/>
    <w:qFormat/>
  </w:style>
  <w:style w:type="table" w:styleId="1047">
    <w:name w:val="普通表格1"/>
    <w:next w:val="1047"/>
    <w:link w:val="835"/>
    <w:semiHidden/>
    <w:qFormat/>
    <w:tblPr/>
  </w:style>
  <w:style w:type="paragraph" w:styleId="1048">
    <w:name w:val="纯文本11"/>
    <w:basedOn w:val="835"/>
    <w:next w:val="1048"/>
    <w:link w:val="835"/>
    <w:qFormat/>
    <w:pPr>
      <w:ind w:firstLine="0"/>
      <w:jc w:val="both"/>
      <w:spacing w:line="240" w:lineRule="auto"/>
    </w:pPr>
    <w:rPr>
      <w:rFonts w:hAnsi="Courier New" w:eastAsia="楷体_GB2312"/>
      <w:color w:val="000000"/>
      <w:sz w:val="26"/>
    </w:rPr>
  </w:style>
  <w:style w:type="paragraph" w:styleId="1049">
    <w:name w:val="标题 11"/>
    <w:basedOn w:val="835"/>
    <w:next w:val="835"/>
    <w:link w:val="835"/>
    <w:qFormat/>
    <w:pPr>
      <w:keepNext/>
      <w:outlineLvl w:val="0"/>
    </w:pPr>
    <w:rPr>
      <w:rFonts w:ascii="楷体_GB2312" w:eastAsia="楷体_GB2312"/>
      <w:sz w:val="28"/>
      <w:szCs w:val="20"/>
    </w:rPr>
  </w:style>
  <w:style w:type="paragraph" w:styleId="1050">
    <w:name w:val="普通正文"/>
    <w:basedOn w:val="835"/>
    <w:next w:val="1050"/>
    <w:link w:val="835"/>
    <w:qFormat/>
    <w:pPr>
      <w:ind w:firstLine="480"/>
      <w:jc w:val="left"/>
      <w:spacing w:before="120" w:after="120" w:line="360" w:lineRule="auto"/>
    </w:pPr>
    <w:rPr>
      <w:rFonts w:ascii="Arial" w:hAnsi="Arial"/>
      <w:sz w:val="24"/>
    </w:rPr>
  </w:style>
  <w:style w:type="paragraph" w:styleId="1051">
    <w:name w:val="纯文本1"/>
    <w:basedOn w:val="835"/>
    <w:next w:val="1051"/>
    <w:link w:val="835"/>
    <w:qFormat/>
    <w:rPr>
      <w:rFonts w:ascii="宋体" w:hAnsi="Courier New"/>
      <w:szCs w:val="20"/>
    </w:rPr>
  </w:style>
  <w:style w:type="paragraph" w:styleId="1052">
    <w:name w:val="WPSOffice手动目录 1"/>
    <w:next w:val="1052"/>
    <w:link w:val="835"/>
    <w:qFormat/>
    <w:rPr>
      <w:rFonts w:ascii="Times New Roman" w:hAnsi="Times New Roman" w:eastAsia="宋体" w:cs="Times New Roman"/>
      <w:lang w:val="en-US" w:eastAsia="zh-CN" w:bidi="ar-SA"/>
    </w:rPr>
  </w:style>
  <w:style w:type="paragraph" w:styleId="1053">
    <w:name w:val="普通(网站)1"/>
    <w:basedOn w:val="835"/>
    <w:next w:val="1053"/>
    <w:link w:val="835"/>
    <w:unhideWhenUsed/>
    <w:qFormat/>
    <w:pPr>
      <w:jc w:val="left"/>
      <w:spacing w:before="100" w:beforeAutospacing="1" w:after="100" w:afterAutospacing="1"/>
      <w:widowControl/>
    </w:pPr>
    <w:rPr>
      <w:rFonts w:ascii="宋体" w:hAnsi="宋体" w:cs="宋体"/>
      <w:sz w:val="24"/>
    </w:rPr>
  </w:style>
  <w:style w:type="paragraph" w:styleId="1054">
    <w:name w:val="首行缩进"/>
    <w:basedOn w:val="835"/>
    <w:next w:val="1054"/>
    <w:link w:val="835"/>
    <w:qFormat/>
    <w:pPr>
      <w:ind w:firstLine="480"/>
    </w:pPr>
    <w:rPr>
      <w:lang w:val="zh-CN"/>
    </w:rPr>
  </w:style>
  <w:style w:type="paragraph" w:styleId="1055">
    <w:name w:val="副标题1"/>
    <w:basedOn w:val="835"/>
    <w:next w:val="835"/>
    <w:link w:val="835"/>
    <w:qFormat/>
    <w:pPr>
      <w:jc w:val="center"/>
      <w:spacing w:before="240" w:after="60" w:line="312" w:lineRule="auto"/>
      <w:outlineLvl w:val="1"/>
    </w:pPr>
    <w:rPr>
      <w:rFonts w:ascii="Cambria" w:hAnsi="Cambria"/>
      <w:b/>
      <w:bCs/>
      <w:sz w:val="32"/>
      <w:szCs w:val="32"/>
    </w:rPr>
  </w:style>
  <w:style w:type="paragraph" w:styleId="1056">
    <w:name w:val="正文文本缩进 31"/>
    <w:basedOn w:val="835"/>
    <w:next w:val="1056"/>
    <w:link w:val="835"/>
    <w:qFormat/>
    <w:pPr>
      <w:ind w:firstLine="523"/>
    </w:pPr>
    <w:rPr>
      <w:rFonts w:ascii="仿宋_GB2312" w:hAnsi="宋体" w:eastAsia="仿宋_GB2312"/>
      <w:sz w:val="24"/>
    </w:rPr>
  </w:style>
  <w:style w:type="paragraph" w:styleId="1057">
    <w:name w:val="标题 21"/>
    <w:basedOn w:val="835"/>
    <w:next w:val="835"/>
    <w:link w:val="835"/>
    <w:qFormat/>
    <w:pPr>
      <w:jc w:val="center"/>
      <w:keepLines/>
      <w:keepNext/>
      <w:spacing w:before="260" w:after="260" w:line="416" w:lineRule="auto"/>
      <w:outlineLvl w:val="1"/>
    </w:pPr>
    <w:rPr>
      <w:rFonts w:ascii="Arial" w:hAnsi="Arial" w:eastAsia="幼圆"/>
      <w:b/>
      <w:sz w:val="44"/>
      <w:szCs w:val="20"/>
    </w:rPr>
  </w:style>
  <w:style w:type="paragraph" w:styleId="1058">
    <w:name w:val="标题 31"/>
    <w:basedOn w:val="835"/>
    <w:next w:val="835"/>
    <w:link w:val="835"/>
    <w:qFormat/>
    <w:pPr>
      <w:keepLines/>
      <w:keepNext/>
      <w:spacing w:before="260" w:after="260" w:line="416" w:lineRule="auto"/>
      <w:outlineLvl w:val="2"/>
    </w:pPr>
    <w:rPr>
      <w:b/>
      <w:sz w:val="32"/>
      <w:szCs w:val="20"/>
    </w:rPr>
  </w:style>
  <w:style w:type="paragraph" w:styleId="1059">
    <w:name w:val="目录 31"/>
    <w:basedOn w:val="835"/>
    <w:next w:val="835"/>
    <w:link w:val="835"/>
    <w:uiPriority w:val="39"/>
    <w:semiHidden/>
    <w:qFormat/>
    <w:pPr>
      <w:ind w:left="539"/>
      <w:jc w:val="left"/>
      <w:spacing w:line="240" w:lineRule="exact"/>
      <w:tabs>
        <w:tab w:val="right" w:pos="9440" w:leader="dot"/>
      </w:tabs>
    </w:pPr>
    <w:rPr>
      <w:rFonts w:ascii="黑体" w:hAnsi="宋体" w:eastAsia="黑体"/>
      <w:bCs/>
      <w:iCs/>
      <w:sz w:val="18"/>
      <w:szCs w:val="32"/>
    </w:rPr>
  </w:style>
  <w:style w:type="paragraph" w:styleId="1060">
    <w:name w:val="正文文本缩进1"/>
    <w:basedOn w:val="835"/>
    <w:next w:val="1061"/>
    <w:link w:val="835"/>
    <w:qFormat/>
    <w:pPr>
      <w:ind w:firstLine="645"/>
    </w:pPr>
    <w:rPr>
      <w:rFonts w:ascii="楷体_GB2312" w:eastAsia="楷体_GB2312"/>
      <w:sz w:val="32"/>
      <w:szCs w:val="20"/>
    </w:rPr>
  </w:style>
  <w:style w:type="paragraph" w:styleId="1061">
    <w:name w:val="寄信人地址1"/>
    <w:basedOn w:val="835"/>
    <w:next w:val="1061"/>
    <w:link w:val="835"/>
    <w:uiPriority w:val="99"/>
    <w:qFormat/>
    <w:rPr>
      <w:rFonts w:ascii="Arial" w:hAnsi="Arial"/>
    </w:rPr>
  </w:style>
  <w:style w:type="paragraph" w:styleId="1062">
    <w:name w:val="正文文本1"/>
    <w:basedOn w:val="835"/>
    <w:next w:val="835"/>
    <w:link w:val="835"/>
    <w:qFormat/>
    <w:rPr>
      <w:rFonts w:ascii="楷体_GB2312" w:hAnsi="Arial" w:eastAsia="楷体_GB2312"/>
      <w:sz w:val="28"/>
      <w:szCs w:val="20"/>
    </w:rPr>
  </w:style>
  <w:style w:type="paragraph" w:styleId="1063">
    <w:name w:val="Blockquote"/>
    <w:basedOn w:val="835"/>
    <w:next w:val="1063"/>
    <w:link w:val="835"/>
    <w:qFormat/>
    <w:pPr>
      <w:ind w:left="360" w:right="360"/>
      <w:jc w:val="left"/>
      <w:spacing w:before="100" w:after="100"/>
    </w:pPr>
    <w:rPr>
      <w:sz w:val="24"/>
      <w:szCs w:val="20"/>
    </w:rPr>
  </w:style>
  <w:style w:type="paragraph" w:styleId="1064">
    <w:name w:val="HTML 预设格式1"/>
    <w:basedOn w:val="835"/>
    <w:next w:val="1064"/>
    <w:link w:val="83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65">
    <w:name w:val="文本块1"/>
    <w:basedOn w:val="835"/>
    <w:next w:val="1065"/>
    <w:link w:val="835"/>
    <w:qFormat/>
    <w:pPr>
      <w:ind w:left="1440" w:right="1440" w:firstLine="480"/>
      <w:jc w:val="left"/>
      <w:spacing w:before="100" w:beforeAutospacing="1" w:after="100" w:afterAutospacing="1" w:line="360" w:lineRule="auto"/>
      <w:widowControl/>
    </w:pPr>
    <w:rPr>
      <w:rFonts w:ascii="宋体" w:hAnsi="宋体"/>
      <w:sz w:val="24"/>
      <w:szCs w:val="24"/>
    </w:rPr>
  </w:style>
  <w:style w:type="paragraph" w:styleId="1066">
    <w:name w:val="标题 41"/>
    <w:basedOn w:val="835"/>
    <w:next w:val="835"/>
    <w:link w:val="835"/>
    <w:qFormat/>
    <w:pPr>
      <w:keepLines/>
      <w:keepNext/>
      <w:spacing w:before="280" w:after="290" w:line="376" w:lineRule="auto"/>
      <w:outlineLvl w:val="3"/>
    </w:pPr>
    <w:rPr>
      <w:rFonts w:ascii="Arial" w:hAnsi="Arial" w:eastAsia="黑体"/>
      <w:b/>
      <w:bCs/>
      <w:sz w:val="28"/>
      <w:szCs w:val="28"/>
    </w:rPr>
  </w:style>
  <w:style w:type="paragraph" w:styleId="1067">
    <w:name w:val="Char"/>
    <w:basedOn w:val="835"/>
    <w:next w:val="1067"/>
    <w:link w:val="835"/>
    <w:qFormat/>
    <w:pPr>
      <w:tabs>
        <w:tab w:val="left" w:pos="360" w:leader="none"/>
      </w:tabs>
    </w:pPr>
    <w:rPr>
      <w:sz w:val="24"/>
    </w:rPr>
  </w:style>
  <w:style w:type="paragraph" w:styleId="1068">
    <w:name w:val="日期1"/>
    <w:basedOn w:val="835"/>
    <w:next w:val="835"/>
    <w:link w:val="835"/>
    <w:qFormat/>
    <w:rPr>
      <w:sz w:val="24"/>
      <w:szCs w:val="20"/>
    </w:rPr>
  </w:style>
  <w:style w:type="paragraph" w:styleId="1069">
    <w:name w:val="页眉1"/>
    <w:basedOn w:val="835"/>
    <w:next w:val="873"/>
    <w:link w:val="835"/>
    <w:qFormat/>
    <w:pPr>
      <w:jc w:val="center"/>
      <w:tabs>
        <w:tab w:val="center" w:pos="4153" w:leader="none"/>
        <w:tab w:val="right" w:pos="8306" w:leader="none"/>
      </w:tabs>
      <w:pBdr>
        <w:bottom w:val="single" w:color="000000" w:sz="6" w:space="1"/>
      </w:pBdr>
    </w:pPr>
    <w:rPr>
      <w:sz w:val="18"/>
      <w:szCs w:val="18"/>
    </w:rPr>
  </w:style>
  <w:style w:type="paragraph" w:styleId="1070">
    <w:name w:val="页脚1"/>
    <w:basedOn w:val="835"/>
    <w:next w:val="1070"/>
    <w:link w:val="835"/>
    <w:qFormat/>
    <w:pPr>
      <w:jc w:val="left"/>
      <w:tabs>
        <w:tab w:val="center" w:pos="4153" w:leader="none"/>
        <w:tab w:val="right" w:pos="8306" w:leader="none"/>
      </w:tabs>
    </w:pPr>
    <w:rPr>
      <w:sz w:val="18"/>
      <w:szCs w:val="20"/>
    </w:rPr>
  </w:style>
  <w:style w:type="character" w:styleId="1071">
    <w:name w:val="NormalCharacter1"/>
    <w:next w:val="1071"/>
    <w:link w:val="835"/>
    <w:semiHidden/>
    <w:qFormat/>
  </w:style>
  <w:style w:type="table" w:styleId="1072">
    <w:name w:val="Table Normal"/>
    <w:next w:val="1072"/>
    <w:link w:val="835"/>
    <w:unhideWhenUsed/>
    <w:qFormat/>
    <w:tblPr/>
  </w:style>
  <w:style w:type="character" w:styleId="1073">
    <w:name w:val="hover"/>
    <w:basedOn w:val="845"/>
    <w:next w:val="1073"/>
    <w:link w:val="835"/>
    <w:rPr>
      <w:color w:val="5fb878"/>
    </w:rPr>
  </w:style>
  <w:style w:type="character" w:styleId="1074">
    <w:name w:val="hover1"/>
    <w:basedOn w:val="845"/>
    <w:next w:val="1074"/>
    <w:link w:val="835"/>
    <w:rPr>
      <w:color w:val="5fb878"/>
    </w:rPr>
  </w:style>
  <w:style w:type="character" w:styleId="1075">
    <w:name w:val="hover2"/>
    <w:basedOn w:val="845"/>
    <w:next w:val="1075"/>
    <w:link w:val="835"/>
    <w:rPr>
      <w:color w:val="ffffff"/>
    </w:rPr>
  </w:style>
  <w:style w:type="character" w:styleId="1076">
    <w:name w:val="无"/>
    <w:next w:val="1076"/>
    <w:link w:val="835"/>
    <w:qFormat/>
  </w:style>
  <w:style w:type="character" w:styleId="16244" w:default="1">
    <w:name w:val="Default Paragraph Font"/>
    <w:uiPriority w:val="1"/>
    <w:semiHidden/>
    <w:unhideWhenUsed/>
  </w:style>
  <w:style w:type="numbering" w:styleId="16245" w:default="1">
    <w:name w:val="No List"/>
    <w:uiPriority w:val="99"/>
    <w:semiHidden/>
    <w:unhideWhenUsed/>
  </w:style>
  <w:style w:type="table" w:styleId="1624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1548"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0750"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2694"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5073"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1869"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1636" TargetMode="External"/><Relationship Id="rId1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164" TargetMode="External"/><Relationship Id="rId1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9367" TargetMode="External"/><Relationship Id="rId1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1453" TargetMode="External"/><Relationship Id="rId2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4554" TargetMode="External"/><Relationship Id="rId2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8837" TargetMode="External"/><Relationship Id="rId2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8603" TargetMode="External"/><Relationship Id="rId2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1702" TargetMode="External"/><Relationship Id="rId2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613"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dc:creator>
  <cp:lastModifiedBy>王举蕾</cp:lastModifiedBy>
  <cp:revision>5</cp:revision>
  <dcterms:created xsi:type="dcterms:W3CDTF">2024-04-03T03:01:00Z</dcterms:created>
  <dcterms:modified xsi:type="dcterms:W3CDTF">2025-11-14T03:01:48Z</dcterms:modified>
</cp:coreProperties>
</file>